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52"/>
          <w:szCs w:val="52"/>
          <w:lang w:eastAsia="zh-CN"/>
        </w:rPr>
      </w:pPr>
      <w:r>
        <w:rPr>
          <w:rFonts w:hint="default" w:ascii="Times New Roman" w:hAnsi="Times New Roman" w:eastAsia="宋体" w:cs="Times New Roman"/>
          <w:b/>
          <w:bCs/>
          <w:sz w:val="56"/>
          <w:szCs w:val="56"/>
          <w:lang w:eastAsia="zh-CN"/>
        </w:rPr>
        <w:t>竣工环境保护验收调查报告</w:t>
      </w:r>
      <w:r>
        <w:rPr>
          <w:rFonts w:hint="eastAsia" w:ascii="Times New Roman" w:hAnsi="Times New Roman" w:eastAsia="宋体" w:cs="Times New Roman"/>
          <w:b/>
          <w:bCs/>
          <w:sz w:val="56"/>
          <w:szCs w:val="56"/>
          <w:lang w:eastAsia="zh-CN"/>
        </w:rPr>
        <w:t>表</w:t>
      </w:r>
    </w:p>
    <w:p>
      <w:pPr>
        <w:jc w:val="center"/>
        <w:rPr>
          <w:rFonts w:hint="default" w:ascii="Times New Roman" w:hAnsi="Times New Roman" w:eastAsia="宋体" w:cs="Times New Roman"/>
          <w:b/>
          <w:bCs/>
          <w:sz w:val="52"/>
          <w:szCs w:val="52"/>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ind w:left="2720" w:leftChars="500" w:hanging="1520" w:hangingChars="473"/>
        <w:jc w:val="left"/>
        <w:rPr>
          <w:rFonts w:hint="default" w:ascii="Times New Roman" w:hAnsi="Times New Roman" w:eastAsia="宋体" w:cs="Times New Roman"/>
          <w:b/>
          <w:bCs/>
          <w:sz w:val="32"/>
          <w:szCs w:val="32"/>
          <w:lang w:eastAsia="zh-CN"/>
        </w:rPr>
      </w:pPr>
      <w:r>
        <w:rPr>
          <w:rFonts w:hint="default" w:ascii="Times New Roman" w:hAnsi="Times New Roman" w:eastAsia="宋体" w:cs="Times New Roman"/>
          <w:b/>
          <w:bCs/>
          <w:sz w:val="32"/>
          <w:szCs w:val="32"/>
          <w:lang w:eastAsia="zh-CN"/>
        </w:rPr>
        <w:t>项目名称：</w:t>
      </w:r>
      <w:r>
        <w:rPr>
          <w:rFonts w:hint="eastAsia" w:ascii="Times New Roman" w:hAnsi="Times New Roman" w:eastAsia="宋体" w:cs="Times New Roman"/>
          <w:b/>
          <w:bCs/>
          <w:sz w:val="32"/>
          <w:szCs w:val="32"/>
          <w:lang w:eastAsia="zh-CN"/>
        </w:rPr>
        <w:t>贵州·华联城（一期）</w:t>
      </w:r>
    </w:p>
    <w:p>
      <w:pPr>
        <w:ind w:left="106" w:leftChars="44" w:firstLine="0" w:firstLineChars="0"/>
        <w:jc w:val="left"/>
        <w:rPr>
          <w:rFonts w:hint="default" w:ascii="Times New Roman" w:hAnsi="Times New Roman" w:eastAsia="宋体" w:cs="Times New Roman"/>
          <w:b w:val="0"/>
          <w:bCs w:val="0"/>
          <w:i w:val="0"/>
          <w:iCs w:val="0"/>
          <w:sz w:val="32"/>
          <w:szCs w:val="32"/>
          <w:u w:val="single"/>
          <w:lang w:val="en-US" w:eastAsia="zh-CN"/>
        </w:rPr>
      </w:pPr>
      <w:r>
        <w:rPr>
          <w:rFonts w:hint="eastAsia" w:ascii="Times New Roman" w:hAnsi="Times New Roman" w:eastAsia="宋体" w:cs="Times New Roman"/>
          <w:b/>
          <w:bCs/>
          <w:sz w:val="32"/>
          <w:szCs w:val="32"/>
          <w:lang w:val="en-US" w:eastAsia="zh-CN"/>
        </w:rPr>
        <w:t xml:space="preserve">       </w:t>
      </w:r>
      <w:r>
        <w:rPr>
          <w:rFonts w:hint="eastAsia" w:ascii="Times New Roman" w:hAnsi="Times New Roman" w:eastAsia="宋体" w:cs="Times New Roman"/>
          <w:b/>
          <w:bCs/>
          <w:sz w:val="32"/>
          <w:szCs w:val="32"/>
          <w:lang w:eastAsia="zh-CN"/>
        </w:rPr>
        <w:t>委托</w:t>
      </w:r>
      <w:r>
        <w:rPr>
          <w:rFonts w:hint="default" w:ascii="Times New Roman" w:hAnsi="Times New Roman" w:eastAsia="宋体" w:cs="Times New Roman"/>
          <w:b/>
          <w:bCs/>
          <w:sz w:val="32"/>
          <w:szCs w:val="32"/>
          <w:lang w:eastAsia="zh-CN"/>
        </w:rPr>
        <w:t>单位</w:t>
      </w:r>
      <w:r>
        <w:rPr>
          <w:rFonts w:hint="eastAsia" w:ascii="Times New Roman" w:hAnsi="Times New Roman" w:eastAsia="宋体" w:cs="Times New Roman"/>
          <w:b/>
          <w:bCs/>
          <w:sz w:val="32"/>
          <w:szCs w:val="32"/>
          <w:lang w:eastAsia="zh-CN"/>
        </w:rPr>
        <w:t>：贵州华联城房地产开发有限公司</w:t>
      </w:r>
    </w:p>
    <w:p>
      <w:pPr>
        <w:ind w:left="1200" w:leftChars="500" w:firstLine="0" w:firstLineChars="0"/>
        <w:jc w:val="left"/>
        <w:rPr>
          <w:rFonts w:hint="default" w:ascii="Times New Roman" w:hAnsi="Times New Roman" w:eastAsia="宋体" w:cs="Times New Roman"/>
          <w:b/>
          <w:bCs/>
          <w:sz w:val="32"/>
          <w:szCs w:val="32"/>
          <w:u w:val="single"/>
          <w:lang w:eastAsia="zh-CN"/>
        </w:rPr>
      </w:pPr>
      <w:r>
        <w:rPr>
          <w:rFonts w:hint="eastAsia" w:ascii="Times New Roman" w:hAnsi="Times New Roman" w:eastAsia="宋体" w:cs="Times New Roman"/>
          <w:b/>
          <w:bCs/>
          <w:sz w:val="32"/>
          <w:szCs w:val="32"/>
          <w:lang w:eastAsia="zh-CN"/>
        </w:rPr>
        <w:t>调查</w:t>
      </w:r>
      <w:r>
        <w:rPr>
          <w:rFonts w:hint="default" w:ascii="Times New Roman" w:hAnsi="Times New Roman" w:eastAsia="宋体" w:cs="Times New Roman"/>
          <w:b/>
          <w:bCs/>
          <w:sz w:val="32"/>
          <w:szCs w:val="32"/>
          <w:lang w:eastAsia="zh-CN"/>
        </w:rPr>
        <w:t>单位</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b/>
          <w:bCs/>
          <w:sz w:val="32"/>
          <w:szCs w:val="32"/>
          <w:u w:val="none"/>
          <w:lang w:eastAsia="zh-CN"/>
        </w:rPr>
        <w:t>贵州省洪鑫环境检测服务有限公司</w:t>
      </w:r>
    </w:p>
    <w:p>
      <w:pPr>
        <w:jc w:val="both"/>
        <w:rPr>
          <w:rFonts w:hint="default" w:ascii="Times New Roman" w:hAnsi="Times New Roman" w:eastAsia="宋体" w:cs="Times New Roman"/>
          <w:b/>
          <w:bCs/>
          <w:sz w:val="28"/>
          <w:szCs w:val="28"/>
          <w:lang w:val="en-US" w:eastAsia="zh-CN"/>
        </w:rPr>
      </w:pPr>
    </w:p>
    <w:p>
      <w:pPr>
        <w:jc w:val="center"/>
        <w:rPr>
          <w:rFonts w:hint="default" w:ascii="Times New Roman" w:hAnsi="Times New Roman" w:eastAsia="宋体" w:cs="Times New Roman"/>
          <w:b/>
          <w:bCs/>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eastAsia="宋体" w:cs="Times New Roman"/>
          <w:b/>
          <w:bCs/>
          <w:sz w:val="28"/>
          <w:szCs w:val="28"/>
          <w:lang w:val="en-US" w:eastAsia="zh-CN"/>
        </w:rPr>
        <w:t>二〇一</w:t>
      </w:r>
      <w:r>
        <w:rPr>
          <w:rFonts w:hint="eastAsia" w:ascii="Times New Roman" w:hAnsi="Times New Roman" w:eastAsia="宋体" w:cs="Times New Roman"/>
          <w:b/>
          <w:bCs/>
          <w:sz w:val="28"/>
          <w:szCs w:val="28"/>
          <w:lang w:val="en-US" w:eastAsia="zh-CN"/>
        </w:rPr>
        <w:t>七</w:t>
      </w:r>
      <w:r>
        <w:rPr>
          <w:rFonts w:hint="default" w:ascii="Times New Roman" w:hAnsi="Times New Roman" w:eastAsia="宋体" w:cs="Times New Roman"/>
          <w:b/>
          <w:bCs/>
          <w:sz w:val="28"/>
          <w:szCs w:val="28"/>
          <w:lang w:val="en-US" w:eastAsia="zh-CN"/>
        </w:rPr>
        <w:t>年</w:t>
      </w:r>
      <w:r>
        <w:rPr>
          <w:rFonts w:hint="eastAsia" w:ascii="Times New Roman" w:hAnsi="Times New Roman" w:eastAsia="宋体" w:cs="Times New Roman"/>
          <w:b/>
          <w:bCs/>
          <w:sz w:val="28"/>
          <w:szCs w:val="28"/>
          <w:lang w:val="en-US" w:eastAsia="zh-CN"/>
        </w:rPr>
        <w:t>八</w:t>
      </w:r>
      <w:r>
        <w:rPr>
          <w:rFonts w:hint="default" w:ascii="Times New Roman" w:hAnsi="Times New Roman" w:eastAsia="宋体" w:cs="Times New Roman"/>
          <w:b/>
          <w:bCs/>
          <w:sz w:val="28"/>
          <w:szCs w:val="28"/>
          <w:lang w:val="en-US" w:eastAsia="zh-CN"/>
        </w:rPr>
        <w:t>月·兴义</w:t>
      </w:r>
    </w:p>
    <w:p>
      <w:pPr>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drawing>
          <wp:inline distT="0" distB="0" distL="114300" distR="114300">
            <wp:extent cx="5263515" cy="7647940"/>
            <wp:effectExtent l="0" t="0" r="13335" b="10160"/>
            <wp:docPr id="1" name="图片 1" descr="资质认定证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质认定证书(新)"/>
                    <pic:cNvPicPr>
                      <a:picLocks noChangeAspect="1"/>
                    </pic:cNvPicPr>
                  </pic:nvPicPr>
                  <pic:blipFill>
                    <a:blip r:embed="rId10"/>
                    <a:stretch>
                      <a:fillRect/>
                    </a:stretch>
                  </pic:blipFill>
                  <pic:spPr>
                    <a:xfrm>
                      <a:off x="0" y="0"/>
                      <a:ext cx="5263515" cy="7647940"/>
                    </a:xfrm>
                    <a:prstGeom prst="rect">
                      <a:avLst/>
                    </a:prstGeom>
                  </pic:spPr>
                </pic:pic>
              </a:graphicData>
            </a:graphic>
          </wp:inline>
        </w:drawing>
      </w:r>
    </w:p>
    <w:p>
      <w:pPr>
        <w:jc w:val="center"/>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28"/>
          <w:szCs w:val="28"/>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drawing>
          <wp:inline distT="0" distB="0" distL="114300" distR="114300">
            <wp:extent cx="5266055" cy="7375525"/>
            <wp:effectExtent l="0" t="0" r="10795" b="15875"/>
            <wp:docPr id="2" name="图片 2" descr="持证上岗证书IMG_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持证上岗证书IMG_3789"/>
                    <pic:cNvPicPr>
                      <a:picLocks noChangeAspect="1"/>
                    </pic:cNvPicPr>
                  </pic:nvPicPr>
                  <pic:blipFill>
                    <a:blip r:embed="rId11"/>
                    <a:stretch>
                      <a:fillRect/>
                    </a:stretch>
                  </pic:blipFill>
                  <pic:spPr>
                    <a:xfrm>
                      <a:off x="0" y="0"/>
                      <a:ext cx="5266055" cy="7375525"/>
                    </a:xfrm>
                    <a:prstGeom prst="rect">
                      <a:avLst/>
                    </a:prstGeom>
                  </pic:spPr>
                </pic:pic>
              </a:graphicData>
            </a:graphic>
          </wp:inline>
        </w:drawing>
      </w:r>
    </w:p>
    <w:p>
      <w:pPr>
        <w:jc w:val="center"/>
        <w:rPr>
          <w:rFonts w:hint="default" w:ascii="Times New Roman" w:hAnsi="Times New Roman" w:eastAsia="宋体" w:cs="Times New Roman"/>
          <w:b/>
          <w:bCs/>
          <w:sz w:val="28"/>
          <w:szCs w:val="28"/>
          <w:lang w:eastAsia="zh-CN"/>
        </w:rPr>
      </w:pPr>
    </w:p>
    <w:p>
      <w:pPr>
        <w:jc w:val="center"/>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pPr>
    </w:p>
    <w:p>
      <w:pPr>
        <w:jc w:val="both"/>
        <w:rPr>
          <w:rFonts w:hint="default" w:ascii="Times New Roman" w:hAnsi="Times New Roman" w:eastAsia="宋体" w:cs="Times New Roman"/>
          <w:b/>
          <w:bCs/>
          <w:sz w:val="28"/>
          <w:szCs w:val="28"/>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drawing>
          <wp:anchor distT="0" distB="0" distL="114300" distR="114300" simplePos="0" relativeHeight="251728896" behindDoc="1" locked="0" layoutInCell="1" allowOverlap="1">
            <wp:simplePos x="0" y="0"/>
            <wp:positionH relativeFrom="column">
              <wp:posOffset>-123825</wp:posOffset>
            </wp:positionH>
            <wp:positionV relativeFrom="paragraph">
              <wp:posOffset>30480</wp:posOffset>
            </wp:positionV>
            <wp:extent cx="5577840" cy="4485640"/>
            <wp:effectExtent l="0" t="0" r="3810" b="10160"/>
            <wp:wrapNone/>
            <wp:docPr id="67" name="图片 67"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资质"/>
                    <pic:cNvPicPr>
                      <a:picLocks noChangeAspect="1"/>
                    </pic:cNvPicPr>
                  </pic:nvPicPr>
                  <pic:blipFill>
                    <a:blip r:embed="rId12"/>
                    <a:srcRect l="10119" b="47507"/>
                    <a:stretch>
                      <a:fillRect/>
                    </a:stretch>
                  </pic:blipFill>
                  <pic:spPr>
                    <a:xfrm>
                      <a:off x="0" y="0"/>
                      <a:ext cx="5577840" cy="4485640"/>
                    </a:xfrm>
                    <a:prstGeom prst="rect">
                      <a:avLst/>
                    </a:prstGeom>
                  </pic:spPr>
                </pic:pic>
              </a:graphicData>
            </a:graphic>
          </wp:anchor>
        </w:drawing>
      </w: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rPr>
          <w:rFonts w:hint="default"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p>
    <w:p>
      <w:pPr>
        <w:jc w:val="left"/>
        <w:rPr>
          <w:rFonts w:hint="eastAsia" w:ascii="Times New Roman" w:hAnsi="Times New Roman" w:eastAsia="宋体" w:cs="Times New Roman"/>
          <w:b/>
          <w:bCs/>
          <w:sz w:val="28"/>
          <w:szCs w:val="28"/>
          <w:lang w:eastAsia="zh-CN"/>
        </w:rPr>
      </w:pPr>
    </w:p>
    <w:p>
      <w:pPr>
        <w:jc w:val="center"/>
        <w:rPr>
          <w:rFonts w:hint="eastAsia" w:ascii="Times New Roman" w:hAnsi="Times New Roman" w:eastAsia="宋体" w:cs="Times New Roman"/>
          <w:b/>
          <w:bCs/>
          <w:sz w:val="28"/>
          <w:szCs w:val="28"/>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表1   项目总体情况</w:t>
      </w:r>
    </w:p>
    <w:tbl>
      <w:tblPr>
        <w:tblStyle w:val="18"/>
        <w:tblW w:w="90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40"/>
        <w:gridCol w:w="1136"/>
        <w:gridCol w:w="647"/>
        <w:gridCol w:w="711"/>
        <w:gridCol w:w="473"/>
        <w:gridCol w:w="647"/>
        <w:gridCol w:w="548"/>
        <w:gridCol w:w="402"/>
        <w:gridCol w:w="261"/>
        <w:gridCol w:w="504"/>
        <w:gridCol w:w="400"/>
        <w:gridCol w:w="214"/>
        <w:gridCol w:w="14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项目名称</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rFonts w:hint="eastAsia"/>
                <w:sz w:val="21"/>
                <w:szCs w:val="21"/>
                <w:lang w:eastAsia="zh-CN"/>
              </w:rPr>
              <w:t>贵州·华联城（一期）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4"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建设单位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1"/>
                <w:szCs w:val="21"/>
                <w:lang w:eastAsia="zh-CN"/>
              </w:rPr>
            </w:pPr>
            <w:r>
              <w:rPr>
                <w:rFonts w:hint="eastAsia" w:ascii="Times New Roman" w:hAnsi="Times New Roman" w:cs="Times New Roman"/>
                <w:color w:val="000000"/>
                <w:sz w:val="21"/>
                <w:szCs w:val="21"/>
                <w:lang w:eastAsia="zh-CN"/>
              </w:rPr>
              <w:t>贵州华联城房地产开发有限公司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9"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法人代表</w:t>
            </w:r>
          </w:p>
        </w:tc>
        <w:tc>
          <w:tcPr>
            <w:tcW w:w="361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rFonts w:hint="eastAsia"/>
                <w:sz w:val="21"/>
                <w:szCs w:val="21"/>
                <w:lang w:eastAsia="zh-CN"/>
              </w:rPr>
              <w:t>潘晋</w:t>
            </w:r>
          </w:p>
        </w:tc>
        <w:tc>
          <w:tcPr>
            <w:tcW w:w="121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联系人</w:t>
            </w:r>
          </w:p>
        </w:tc>
        <w:tc>
          <w:tcPr>
            <w:tcW w:w="261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1"/>
                <w:szCs w:val="21"/>
                <w:lang w:eastAsia="zh-CN"/>
              </w:rPr>
            </w:pPr>
            <w:r>
              <w:rPr>
                <w:rFonts w:hint="eastAsia" w:ascii="Times New Roman" w:hAnsi="Times New Roman" w:eastAsia="宋体" w:cs="Times New Roman"/>
                <w:color w:val="000000"/>
                <w:sz w:val="21"/>
                <w:szCs w:val="21"/>
                <w:highlight w:val="none"/>
                <w:lang w:eastAsia="zh-CN"/>
              </w:rPr>
              <w:t>曾光耀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24"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通讯地址</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1"/>
                <w:szCs w:val="21"/>
                <w:lang w:eastAsia="zh-CN"/>
              </w:rPr>
            </w:pPr>
            <w:r>
              <w:rPr>
                <w:rFonts w:hint="eastAsia"/>
                <w:sz w:val="21"/>
                <w:szCs w:val="21"/>
                <w:lang w:eastAsia="zh-CN"/>
              </w:rPr>
              <w:t>兴泰新区文化路与民航路交汇处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联系电话</w:t>
            </w:r>
          </w:p>
        </w:tc>
        <w:tc>
          <w:tcPr>
            <w:tcW w:w="178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1"/>
                <w:szCs w:val="21"/>
                <w:lang w:val="en-US" w:eastAsia="zh-CN"/>
              </w:rPr>
            </w:pPr>
            <w:r>
              <w:rPr>
                <w:rFonts w:hint="eastAsia" w:eastAsiaTheme="minorEastAsia"/>
                <w:sz w:val="21"/>
                <w:szCs w:val="21"/>
                <w:lang w:val="en-US" w:eastAsia="zh-CN"/>
              </w:rPr>
              <w:t>18083280808</w:t>
            </w:r>
          </w:p>
        </w:tc>
        <w:tc>
          <w:tcPr>
            <w:tcW w:w="183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传真</w:t>
            </w:r>
          </w:p>
        </w:tc>
        <w:tc>
          <w:tcPr>
            <w:tcW w:w="1211"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w:t>
            </w:r>
          </w:p>
        </w:tc>
        <w:tc>
          <w:tcPr>
            <w:tcW w:w="1118"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邮编</w:t>
            </w:r>
          </w:p>
        </w:tc>
        <w:tc>
          <w:tcPr>
            <w:tcW w:w="14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sz w:val="21"/>
                <w:szCs w:val="21"/>
                <w:lang w:val="en-US" w:eastAsia="zh-CN"/>
              </w:rPr>
            </w:pPr>
            <w:r>
              <w:rPr>
                <w:rFonts w:hint="eastAsia"/>
                <w:sz w:val="21"/>
                <w:szCs w:val="21"/>
                <w:lang w:val="en-US" w:eastAsia="zh-CN"/>
              </w:rPr>
              <w:t>562400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trPr>
        <w:tc>
          <w:tcPr>
            <w:tcW w:w="16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bCs/>
                <w:sz w:val="21"/>
                <w:szCs w:val="21"/>
              </w:rPr>
              <w:t>建设地点</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21"/>
                <w:szCs w:val="21"/>
              </w:rPr>
            </w:pPr>
            <w:r>
              <w:rPr>
                <w:rFonts w:hint="eastAsia"/>
                <w:sz w:val="21"/>
                <w:szCs w:val="21"/>
                <w:lang w:eastAsia="zh-CN"/>
              </w:rPr>
              <w:t>兴义市兴泰办水库社区安置区旁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bCs/>
                <w:sz w:val="21"/>
                <w:szCs w:val="21"/>
              </w:rPr>
              <w:t>建设性质</w:t>
            </w:r>
          </w:p>
        </w:tc>
        <w:tc>
          <w:tcPr>
            <w:tcW w:w="3614" w:type="dxa"/>
            <w:gridSpan w:val="5"/>
            <w:tcBorders>
              <w:top w:val="single" w:color="auto" w:sz="4" w:space="0"/>
              <w:left w:val="single" w:color="auto" w:sz="4" w:space="0"/>
              <w:bottom w:val="single" w:color="auto" w:sz="4" w:space="0"/>
              <w:right w:val="single" w:color="auto" w:sz="4" w:space="0"/>
            </w:tcBorders>
            <w:vAlign w:val="center"/>
          </w:tcPr>
          <w:p>
            <w:pPr>
              <w:ind w:firstLine="210" w:firstLineChars="100"/>
              <w:rPr>
                <w:sz w:val="21"/>
                <w:szCs w:val="21"/>
              </w:rPr>
            </w:pPr>
            <w:r>
              <w:rPr>
                <w:sz w:val="21"/>
                <w:szCs w:val="21"/>
              </w:rPr>
              <w:t>新建</w:t>
            </w:r>
            <w:r>
              <w:rPr>
                <w:rFonts w:hint="eastAsia"/>
                <w:sz w:val="21"/>
                <w:szCs w:val="21"/>
                <w:lang w:val="en-US" w:eastAsia="zh-CN"/>
              </w:rPr>
              <w:t xml:space="preserve"> </w:t>
            </w:r>
            <w:r>
              <w:rPr>
                <w:rFonts w:hint="default" w:ascii="Arial" w:hAnsi="Arial" w:cs="Arial"/>
                <w:sz w:val="21"/>
                <w:szCs w:val="21"/>
              </w:rPr>
              <w:t>√</w:t>
            </w:r>
            <w:r>
              <w:rPr>
                <w:sz w:val="21"/>
                <w:szCs w:val="21"/>
              </w:rPr>
              <w:t xml:space="preserve"> </w:t>
            </w:r>
            <w:r>
              <w:rPr>
                <w:rFonts w:hint="eastAsia"/>
                <w:sz w:val="21"/>
                <w:szCs w:val="21"/>
                <w:lang w:val="en-US" w:eastAsia="zh-CN"/>
              </w:rPr>
              <w:t xml:space="preserve"> </w:t>
            </w:r>
            <w:r>
              <w:rPr>
                <w:sz w:val="21"/>
                <w:szCs w:val="21"/>
              </w:rPr>
              <w:t xml:space="preserve">改扩建□ </w:t>
            </w:r>
            <w:r>
              <w:rPr>
                <w:rFonts w:hint="eastAsia"/>
                <w:sz w:val="21"/>
                <w:szCs w:val="21"/>
                <w:lang w:val="en-US" w:eastAsia="zh-CN"/>
              </w:rPr>
              <w:t xml:space="preserve"> </w:t>
            </w:r>
            <w:r>
              <w:rPr>
                <w:sz w:val="21"/>
                <w:szCs w:val="21"/>
              </w:rPr>
              <w:t xml:space="preserve">技改□    </w:t>
            </w:r>
          </w:p>
        </w:tc>
        <w:tc>
          <w:tcPr>
            <w:tcW w:w="1211" w:type="dxa"/>
            <w:gridSpan w:val="3"/>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bCs/>
                <w:sz w:val="21"/>
                <w:szCs w:val="21"/>
              </w:rPr>
              <w:t>行业类别</w:t>
            </w:r>
          </w:p>
        </w:tc>
        <w:tc>
          <w:tcPr>
            <w:tcW w:w="2615" w:type="dxa"/>
            <w:gridSpan w:val="4"/>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default" w:ascii="Times New Roman" w:hAnsi="Times New Roman" w:cs="Times New Roman"/>
                <w:color w:val="auto"/>
                <w:spacing w:val="10"/>
                <w:sz w:val="21"/>
                <w:szCs w:val="21"/>
              </w:rPr>
              <w:t>房地产开发经营K7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环境影响评价报告名称</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《贵州·华联城（一期）项目环境影响报告书》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环境影响评价单位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西藏国策环保科技股有限公司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2"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初步设计单位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8"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bCs/>
                <w:sz w:val="21"/>
                <w:szCs w:val="21"/>
                <w:lang w:eastAsia="zh-CN"/>
              </w:rPr>
            </w:pPr>
            <w:r>
              <w:rPr>
                <w:rFonts w:hint="eastAsia"/>
                <w:bCs/>
                <w:sz w:val="21"/>
                <w:szCs w:val="21"/>
                <w:lang w:eastAsia="zh-CN"/>
              </w:rPr>
              <w:t>环境影响评价审批部门</w:t>
            </w:r>
          </w:p>
        </w:tc>
        <w:tc>
          <w:tcPr>
            <w:tcW w:w="17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bCs/>
                <w:sz w:val="21"/>
                <w:szCs w:val="21"/>
                <w:lang w:eastAsia="zh-CN"/>
              </w:rPr>
            </w:pPr>
            <w:r>
              <w:rPr>
                <w:rFonts w:hint="eastAsia"/>
                <w:bCs/>
                <w:sz w:val="21"/>
                <w:szCs w:val="21"/>
                <w:lang w:eastAsia="zh-CN"/>
              </w:rPr>
              <w:t>兴义市环境保护局</w:t>
            </w:r>
          </w:p>
        </w:tc>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hint="eastAsia"/>
                <w:bCs/>
                <w:sz w:val="21"/>
                <w:szCs w:val="21"/>
                <w:lang w:eastAsia="zh-CN"/>
              </w:rPr>
            </w:pPr>
            <w:r>
              <w:rPr>
                <w:rFonts w:hint="eastAsia"/>
                <w:bCs/>
                <w:sz w:val="21"/>
                <w:szCs w:val="21"/>
                <w:lang w:eastAsia="zh-CN"/>
              </w:rPr>
              <w:t>文号</w:t>
            </w:r>
          </w:p>
        </w:tc>
        <w:tc>
          <w:tcPr>
            <w:tcW w:w="207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兴市环审[2014]31号</w:t>
            </w:r>
          </w:p>
        </w:tc>
        <w:tc>
          <w:tcPr>
            <w:tcW w:w="76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时间</w:t>
            </w:r>
          </w:p>
        </w:tc>
        <w:tc>
          <w:tcPr>
            <w:tcW w:w="2111"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2014年3月21日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初步设计审批部门</w:t>
            </w:r>
          </w:p>
        </w:tc>
        <w:tc>
          <w:tcPr>
            <w:tcW w:w="178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w:t>
            </w:r>
          </w:p>
        </w:tc>
        <w:tc>
          <w:tcPr>
            <w:tcW w:w="711"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文号</w:t>
            </w:r>
          </w:p>
        </w:tc>
        <w:tc>
          <w:tcPr>
            <w:tcW w:w="207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1"/>
                <w:szCs w:val="21"/>
                <w:lang w:eastAsia="zh-CN"/>
              </w:rPr>
            </w:pPr>
            <w:r>
              <w:rPr>
                <w:rFonts w:hint="eastAsia"/>
                <w:color w:val="auto"/>
                <w:sz w:val="21"/>
                <w:szCs w:val="21"/>
                <w:lang w:eastAsia="zh-CN"/>
              </w:rPr>
              <w:t>——</w:t>
            </w:r>
          </w:p>
        </w:tc>
        <w:tc>
          <w:tcPr>
            <w:tcW w:w="76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1"/>
                <w:szCs w:val="21"/>
                <w:lang w:eastAsia="zh-CN"/>
              </w:rPr>
            </w:pPr>
            <w:r>
              <w:rPr>
                <w:rFonts w:hint="eastAsia"/>
                <w:color w:val="auto"/>
                <w:sz w:val="21"/>
                <w:szCs w:val="21"/>
                <w:lang w:eastAsia="zh-CN"/>
              </w:rPr>
              <w:t>时间</w:t>
            </w:r>
          </w:p>
        </w:tc>
        <w:tc>
          <w:tcPr>
            <w:tcW w:w="2111"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1"/>
                <w:szCs w:val="21"/>
                <w:lang w:eastAsia="zh-CN"/>
              </w:rPr>
            </w:pPr>
            <w:r>
              <w:rPr>
                <w:rFonts w:hint="eastAsia"/>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环境保护措施设计单位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环境保护措施施工单位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环境保护措施监测单位</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sz w:val="21"/>
                <w:szCs w:val="21"/>
                <w:lang w:eastAsia="zh-CN"/>
              </w:rPr>
            </w:pP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总投资</w:t>
            </w:r>
          </w:p>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(万人民币)</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FF0000"/>
                <w:sz w:val="21"/>
                <w:szCs w:val="21"/>
                <w:lang w:val="en-US" w:eastAsia="zh-CN"/>
              </w:rPr>
            </w:pPr>
            <w:r>
              <w:rPr>
                <w:rFonts w:hint="eastAsia"/>
                <w:color w:val="auto"/>
                <w:sz w:val="21"/>
                <w:szCs w:val="21"/>
                <w:lang w:val="en-US" w:eastAsia="zh-CN"/>
              </w:rPr>
              <w:t>35000</w:t>
            </w:r>
          </w:p>
        </w:tc>
        <w:tc>
          <w:tcPr>
            <w:tcW w:w="1831" w:type="dxa"/>
            <w:gridSpan w:val="3"/>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rPr>
            </w:pPr>
            <w:r>
              <w:rPr>
                <w:bCs/>
                <w:color w:val="auto"/>
                <w:sz w:val="21"/>
                <w:szCs w:val="21"/>
              </w:rPr>
              <w:t>其中：环保投资（万人民币）</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 w:val="21"/>
                <w:szCs w:val="21"/>
                <w:lang w:val="en-US" w:eastAsia="zh-CN"/>
              </w:rPr>
            </w:pPr>
            <w:r>
              <w:rPr>
                <w:rFonts w:hint="eastAsia"/>
                <w:color w:val="auto"/>
                <w:sz w:val="21"/>
                <w:szCs w:val="21"/>
                <w:lang w:val="en-US" w:eastAsia="zh-CN"/>
              </w:rPr>
              <w:t>290</w:t>
            </w:r>
          </w:p>
        </w:tc>
        <w:tc>
          <w:tcPr>
            <w:tcW w:w="1567" w:type="dxa"/>
            <w:gridSpan w:val="4"/>
            <w:tcBorders>
              <w:top w:val="single" w:color="auto" w:sz="4" w:space="0"/>
              <w:left w:val="single" w:color="auto" w:sz="4" w:space="0"/>
              <w:bottom w:val="single" w:color="auto" w:sz="4" w:space="0"/>
              <w:right w:val="single" w:color="auto" w:sz="4" w:space="0"/>
            </w:tcBorders>
            <w:vAlign w:val="center"/>
          </w:tcPr>
          <w:p>
            <w:pPr>
              <w:jc w:val="center"/>
              <w:rPr>
                <w:color w:val="auto"/>
                <w:sz w:val="21"/>
                <w:szCs w:val="21"/>
              </w:rPr>
            </w:pPr>
            <w:r>
              <w:rPr>
                <w:bCs/>
                <w:color w:val="auto"/>
                <w:sz w:val="21"/>
                <w:szCs w:val="21"/>
              </w:rPr>
              <w:t>环保投资占总投资比例</w:t>
            </w:r>
          </w:p>
        </w:tc>
        <w:tc>
          <w:tcPr>
            <w:tcW w:w="17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eastAsiaTheme="minorEastAsia"/>
                <w:color w:val="auto"/>
                <w:sz w:val="21"/>
                <w:szCs w:val="21"/>
                <w:lang w:val="en-US" w:eastAsia="zh-CN"/>
              </w:rPr>
            </w:pPr>
            <w:r>
              <w:rPr>
                <w:rFonts w:hint="eastAsia"/>
                <w:color w:val="auto"/>
                <w:sz w:val="21"/>
                <w:szCs w:val="21"/>
                <w:lang w:val="en-US" w:eastAsia="zh-CN"/>
              </w:rPr>
              <w:t>0.83%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实际总投资</w:t>
            </w:r>
          </w:p>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(万人民币)</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rFonts w:hint="eastAsia"/>
                <w:color w:val="auto"/>
                <w:sz w:val="21"/>
                <w:szCs w:val="21"/>
                <w:lang w:val="en-US" w:eastAsia="zh-CN"/>
              </w:rPr>
              <w:t>35000</w:t>
            </w:r>
          </w:p>
        </w:tc>
        <w:tc>
          <w:tcPr>
            <w:tcW w:w="1831" w:type="dxa"/>
            <w:gridSpan w:val="3"/>
            <w:tcBorders>
              <w:top w:val="single" w:color="auto" w:sz="4" w:space="0"/>
              <w:left w:val="single" w:color="auto" w:sz="4" w:space="0"/>
              <w:bottom w:val="single" w:color="auto" w:sz="4" w:space="0"/>
              <w:right w:val="single" w:color="auto" w:sz="4" w:space="0"/>
            </w:tcBorders>
            <w:vAlign w:val="center"/>
          </w:tcPr>
          <w:p>
            <w:pPr>
              <w:jc w:val="center"/>
              <w:rPr>
                <w:bCs/>
                <w:sz w:val="21"/>
                <w:szCs w:val="21"/>
              </w:rPr>
            </w:pPr>
            <w:r>
              <w:rPr>
                <w:bCs/>
                <w:sz w:val="21"/>
                <w:szCs w:val="21"/>
              </w:rPr>
              <w:t>其中：环保投资（万人民币）</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sz w:val="21"/>
                <w:szCs w:val="21"/>
              </w:rPr>
            </w:pPr>
            <w:r>
              <w:rPr>
                <w:rFonts w:hint="eastAsia"/>
                <w:color w:val="auto"/>
                <w:sz w:val="21"/>
                <w:szCs w:val="21"/>
                <w:lang w:val="en-US" w:eastAsia="zh-CN"/>
              </w:rPr>
              <w:t>290</w:t>
            </w:r>
          </w:p>
        </w:tc>
        <w:tc>
          <w:tcPr>
            <w:tcW w:w="1567" w:type="dxa"/>
            <w:gridSpan w:val="4"/>
            <w:tcBorders>
              <w:top w:val="single" w:color="auto" w:sz="4" w:space="0"/>
              <w:left w:val="single" w:color="auto" w:sz="4" w:space="0"/>
              <w:bottom w:val="single" w:color="auto" w:sz="4" w:space="0"/>
              <w:right w:val="single" w:color="auto" w:sz="4" w:space="0"/>
            </w:tcBorders>
            <w:vAlign w:val="center"/>
          </w:tcPr>
          <w:p>
            <w:pPr>
              <w:jc w:val="center"/>
              <w:rPr>
                <w:bCs/>
                <w:sz w:val="21"/>
                <w:szCs w:val="21"/>
              </w:rPr>
            </w:pPr>
            <w:r>
              <w:rPr>
                <w:bCs/>
                <w:sz w:val="21"/>
                <w:szCs w:val="21"/>
              </w:rPr>
              <w:t>环保投资占总投资比例</w:t>
            </w:r>
          </w:p>
        </w:tc>
        <w:tc>
          <w:tcPr>
            <w:tcW w:w="17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sz w:val="21"/>
                <w:szCs w:val="21"/>
              </w:rPr>
            </w:pPr>
            <w:r>
              <w:rPr>
                <w:rFonts w:hint="eastAsia"/>
                <w:color w:val="auto"/>
                <w:sz w:val="21"/>
                <w:szCs w:val="21"/>
                <w:lang w:val="en-US" w:eastAsia="zh-CN"/>
              </w:rPr>
              <w:t>0.83%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预计生产能力</w:t>
            </w:r>
          </w:p>
        </w:tc>
        <w:tc>
          <w:tcPr>
            <w:tcW w:w="2967"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bCs/>
                <w:sz w:val="21"/>
                <w:szCs w:val="21"/>
                <w:lang w:eastAsia="zh-CN"/>
              </w:rPr>
            </w:pPr>
            <w:r>
              <w:rPr>
                <w:rFonts w:hint="eastAsia"/>
                <w:bCs/>
                <w:sz w:val="21"/>
                <w:szCs w:val="21"/>
                <w:lang w:eastAsia="zh-CN"/>
              </w:rPr>
              <w:t>——</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1"/>
                <w:szCs w:val="21"/>
                <w:lang w:eastAsia="zh-CN"/>
              </w:rPr>
            </w:pPr>
            <w:r>
              <w:rPr>
                <w:rFonts w:hint="default"/>
                <w:bCs/>
                <w:color w:val="auto"/>
                <w:sz w:val="21"/>
                <w:szCs w:val="21"/>
                <w:lang w:eastAsia="zh-CN"/>
              </w:rPr>
              <w:t>项目开工时间</w:t>
            </w:r>
          </w:p>
        </w:tc>
        <w:tc>
          <w:tcPr>
            <w:tcW w:w="3278"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2014年7月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bCs/>
                <w:sz w:val="21"/>
                <w:szCs w:val="21"/>
                <w:lang w:eastAsia="zh-CN"/>
              </w:rPr>
              <w:t>实际生产能力</w:t>
            </w:r>
          </w:p>
        </w:tc>
        <w:tc>
          <w:tcPr>
            <w:tcW w:w="2967"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bCs/>
                <w:sz w:val="21"/>
                <w:szCs w:val="21"/>
                <w:lang w:eastAsia="zh-CN"/>
              </w:rPr>
            </w:pPr>
            <w:r>
              <w:rPr>
                <w:rFonts w:hint="eastAsia"/>
                <w:bCs/>
                <w:sz w:val="21"/>
                <w:szCs w:val="21"/>
                <w:lang w:eastAsia="zh-CN"/>
              </w:rPr>
              <w:t>——</w:t>
            </w:r>
          </w:p>
        </w:tc>
        <w:tc>
          <w:tcPr>
            <w:tcW w:w="119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1"/>
                <w:szCs w:val="21"/>
                <w:lang w:eastAsia="zh-CN"/>
              </w:rPr>
            </w:pPr>
            <w:r>
              <w:rPr>
                <w:rFonts w:hint="default" w:ascii="Times New Roman" w:hAnsi="Times New Roman" w:cs="Times New Roman"/>
                <w:color w:val="auto"/>
                <w:sz w:val="21"/>
                <w:szCs w:val="21"/>
                <w:lang w:eastAsia="zh-CN"/>
              </w:rPr>
              <w:t>项目</w:t>
            </w:r>
            <w:r>
              <w:rPr>
                <w:rFonts w:hint="eastAsia" w:ascii="Times New Roman" w:hAnsi="Times New Roman" w:cs="Times New Roman"/>
                <w:color w:val="auto"/>
                <w:sz w:val="21"/>
                <w:szCs w:val="21"/>
                <w:lang w:eastAsia="zh-CN"/>
              </w:rPr>
              <w:t>竣工</w:t>
            </w:r>
            <w:r>
              <w:rPr>
                <w:rFonts w:hint="default" w:ascii="Times New Roman" w:hAnsi="Times New Roman" w:cs="Times New Roman"/>
                <w:color w:val="auto"/>
                <w:sz w:val="21"/>
                <w:szCs w:val="21"/>
                <w:lang w:eastAsia="zh-CN"/>
              </w:rPr>
              <w:t>时间</w:t>
            </w:r>
          </w:p>
        </w:tc>
        <w:tc>
          <w:tcPr>
            <w:tcW w:w="3278"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bCs/>
                <w:color w:val="auto"/>
                <w:sz w:val="21"/>
                <w:szCs w:val="21"/>
                <w:highlight w:val="none"/>
                <w:lang w:eastAsia="zh-CN"/>
              </w:rPr>
            </w:pPr>
            <w:r>
              <w:rPr>
                <w:rFonts w:hint="eastAsia" w:eastAsiaTheme="minorEastAsia"/>
                <w:color w:val="auto"/>
                <w:sz w:val="21"/>
                <w:szCs w:val="21"/>
                <w:highlight w:val="none"/>
                <w:lang w:eastAsia="zh-CN"/>
              </w:rPr>
              <w:t>201</w:t>
            </w:r>
            <w:r>
              <w:rPr>
                <w:rFonts w:hint="eastAsia"/>
                <w:color w:val="auto"/>
                <w:sz w:val="21"/>
                <w:szCs w:val="21"/>
                <w:highlight w:val="none"/>
                <w:lang w:val="en-US" w:eastAsia="zh-CN"/>
              </w:rPr>
              <w:t>6</w:t>
            </w:r>
            <w:r>
              <w:rPr>
                <w:rFonts w:hint="eastAsia" w:eastAsiaTheme="minorEastAsia"/>
                <w:color w:val="auto"/>
                <w:sz w:val="21"/>
                <w:szCs w:val="21"/>
                <w:highlight w:val="none"/>
                <w:lang w:eastAsia="zh-CN"/>
              </w:rPr>
              <w:t>年</w:t>
            </w:r>
            <w:r>
              <w:rPr>
                <w:rFonts w:hint="eastAsia"/>
                <w:color w:val="auto"/>
                <w:sz w:val="21"/>
                <w:szCs w:val="21"/>
                <w:highlight w:val="none"/>
                <w:lang w:val="en-US" w:eastAsia="zh-CN"/>
              </w:rPr>
              <w:t>2</w:t>
            </w:r>
            <w:r>
              <w:rPr>
                <w:rFonts w:hint="eastAsia" w:eastAsiaTheme="minorEastAsia"/>
                <w:color w:val="auto"/>
                <w:sz w:val="21"/>
                <w:szCs w:val="21"/>
                <w:highlight w:val="none"/>
                <w:lang w:eastAsia="zh-CN"/>
              </w:rPr>
              <w:t>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66"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调查经费</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jc w:val="center"/>
              <w:rPr>
                <w:rFonts w:hint="eastAsia"/>
                <w:bCs/>
                <w:sz w:val="21"/>
                <w:szCs w:val="21"/>
                <w:lang w:eastAsia="zh-CN"/>
              </w:rPr>
            </w:pPr>
            <w:r>
              <w:rPr>
                <w:rFonts w:hint="eastAsia"/>
                <w:bCs/>
                <w:sz w:val="21"/>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69"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bCs/>
                <w:sz w:val="21"/>
                <w:szCs w:val="21"/>
                <w:lang w:eastAsia="zh-CN"/>
              </w:rPr>
            </w:pPr>
            <w:r>
              <w:rPr>
                <w:rFonts w:hint="eastAsia"/>
                <w:bCs/>
                <w:sz w:val="21"/>
                <w:szCs w:val="21"/>
                <w:lang w:eastAsia="zh-CN"/>
              </w:rPr>
              <w:t>项目建设过程简述（项目立项</w:t>
            </w:r>
            <w:r>
              <w:rPr>
                <w:rFonts w:hint="eastAsia"/>
                <w:bCs/>
                <w:sz w:val="21"/>
                <w:szCs w:val="21"/>
                <w:lang w:val="en-US" w:eastAsia="zh-CN"/>
              </w:rPr>
              <w:t>--试运行</w:t>
            </w:r>
            <w:r>
              <w:rPr>
                <w:rFonts w:hint="eastAsia"/>
                <w:bCs/>
                <w:sz w:val="21"/>
                <w:szCs w:val="21"/>
                <w:lang w:eastAsia="zh-CN"/>
              </w:rPr>
              <w:t>）</w:t>
            </w:r>
          </w:p>
        </w:tc>
        <w:tc>
          <w:tcPr>
            <w:tcW w:w="7440" w:type="dxa"/>
            <w:gridSpan w:val="12"/>
            <w:tcBorders>
              <w:top w:val="single" w:color="auto" w:sz="4" w:space="0"/>
              <w:left w:val="single" w:color="auto" w:sz="4" w:space="0"/>
              <w:bottom w:val="single" w:color="auto" w:sz="4" w:space="0"/>
              <w:right w:val="single" w:color="auto" w:sz="4" w:space="0"/>
            </w:tcBorders>
            <w:vAlign w:val="center"/>
          </w:tcPr>
          <w:p>
            <w:pPr>
              <w:pStyle w:val="30"/>
              <w:spacing w:line="360" w:lineRule="auto"/>
              <w:ind w:left="0" w:leftChars="0" w:right="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rPr>
              <w:t xml:space="preserve"> 随着黔西南州社会进步，经济腾飞，交通便捷，区域经济发展新格局给兴义市带来了新的商机。为全面加快综合商城国际化步伐，促进经济社会又好又快发展，努力实现兴义市科学发展新跨越。</w:t>
            </w:r>
            <w:r>
              <w:rPr>
                <w:rFonts w:hint="eastAsia" w:ascii="Times New Roman" w:hAnsi="Times New Roman" w:cs="Times New Roman"/>
                <w:color w:val="auto"/>
                <w:kern w:val="0"/>
                <w:sz w:val="21"/>
                <w:szCs w:val="21"/>
                <w:lang w:eastAsia="zh-CN"/>
              </w:rPr>
              <w:t>贵州华联城房地产开发有限公司</w:t>
            </w:r>
            <w:r>
              <w:rPr>
                <w:rFonts w:hint="default" w:ascii="Times New Roman" w:hAnsi="Times New Roman" w:cs="Times New Roman"/>
                <w:color w:val="auto"/>
                <w:kern w:val="0"/>
                <w:sz w:val="21"/>
                <w:szCs w:val="21"/>
              </w:rPr>
              <w:t>通过对投资环境和房地产市场调查，决定在</w:t>
            </w:r>
            <w:r>
              <w:rPr>
                <w:rFonts w:hint="default" w:ascii="Times New Roman" w:hAnsi="Times New Roman" w:cs="Times New Roman"/>
                <w:color w:val="auto"/>
                <w:kern w:val="0"/>
                <w:sz w:val="21"/>
                <w:szCs w:val="21"/>
                <w:lang w:eastAsia="zh-CN"/>
              </w:rPr>
              <w:t>兴义市兴泰办水库社区安置区旁</w:t>
            </w:r>
            <w:r>
              <w:rPr>
                <w:rFonts w:hint="eastAsia" w:ascii="Times New Roman" w:hAnsi="Times New Roman" w:cs="Times New Roman"/>
                <w:color w:val="auto"/>
                <w:kern w:val="0"/>
                <w:sz w:val="21"/>
                <w:szCs w:val="21"/>
                <w:lang w:eastAsia="zh-CN"/>
              </w:rPr>
              <w:t>投资</w:t>
            </w:r>
            <w:r>
              <w:rPr>
                <w:rFonts w:hint="eastAsia" w:ascii="Times New Roman" w:hAnsi="Times New Roman" w:cs="Times New Roman"/>
                <w:color w:val="auto"/>
                <w:kern w:val="0"/>
                <w:sz w:val="21"/>
                <w:szCs w:val="21"/>
                <w:lang w:val="en-US" w:eastAsia="zh-CN"/>
              </w:rPr>
              <w:t>35000</w:t>
            </w:r>
            <w:r>
              <w:rPr>
                <w:rFonts w:hint="default" w:ascii="Times New Roman" w:hAnsi="Times New Roman" w:cs="Times New Roman"/>
                <w:color w:val="auto"/>
                <w:kern w:val="0"/>
                <w:sz w:val="21"/>
                <w:szCs w:val="21"/>
              </w:rPr>
              <w:t>万元人民币建设</w:t>
            </w:r>
            <w:r>
              <w:rPr>
                <w:rFonts w:hint="eastAsia" w:ascii="Times New Roman" w:hAnsi="Times New Roman" w:cs="Times New Roman"/>
                <w:color w:val="auto"/>
                <w:kern w:val="0"/>
                <w:sz w:val="21"/>
                <w:szCs w:val="21"/>
                <w:lang w:eastAsia="zh-CN"/>
              </w:rPr>
              <w:t>贵州·华联城（一期）</w:t>
            </w:r>
            <w:r>
              <w:rPr>
                <w:rFonts w:hint="default" w:ascii="Times New Roman" w:hAnsi="Times New Roman" w:cs="Times New Roman"/>
                <w:color w:val="auto"/>
                <w:kern w:val="0"/>
                <w:sz w:val="21"/>
                <w:szCs w:val="21"/>
              </w:rPr>
              <w:t>项目。本期项目定位为商业、办公、酒店</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sz w:val="21"/>
                <w:szCs w:val="21"/>
                <w:highlight w:val="none"/>
              </w:rPr>
              <w:t>本项目的建设</w:t>
            </w:r>
            <w:r>
              <w:rPr>
                <w:rFonts w:hint="default" w:ascii="Times New Roman" w:hAnsi="Times New Roman" w:cs="Times New Roman"/>
                <w:bCs/>
                <w:color w:val="auto"/>
                <w:sz w:val="21"/>
                <w:szCs w:val="21"/>
                <w:highlight w:val="none"/>
              </w:rPr>
              <w:t>，有利于改变当地城市面貌，</w:t>
            </w:r>
            <w:r>
              <w:rPr>
                <w:rFonts w:hint="eastAsia" w:ascii="Times New Roman" w:hAnsi="Times New Roman" w:cs="Times New Roman"/>
                <w:bCs/>
                <w:color w:val="auto"/>
                <w:sz w:val="21"/>
                <w:szCs w:val="21"/>
                <w:highlight w:val="none"/>
                <w:lang w:eastAsia="zh-CN"/>
              </w:rPr>
              <w:t>保证居民住房，</w:t>
            </w:r>
            <w:r>
              <w:rPr>
                <w:rFonts w:hint="default" w:ascii="Times New Roman" w:hAnsi="Times New Roman" w:cs="Times New Roman"/>
                <w:color w:val="auto"/>
                <w:sz w:val="21"/>
                <w:szCs w:val="21"/>
                <w:highlight w:val="none"/>
              </w:rPr>
              <w:t>改善居住条件。</w:t>
            </w:r>
          </w:p>
          <w:p>
            <w:pPr>
              <w:pStyle w:val="30"/>
              <w:spacing w:line="360" w:lineRule="auto"/>
              <w:ind w:left="0" w:leftChars="0" w:right="0" w:firstLine="420" w:firstLineChars="200"/>
              <w:jc w:val="both"/>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2013年10月17日，取得</w:t>
            </w:r>
            <w:r>
              <w:rPr>
                <w:rFonts w:hint="eastAsia" w:ascii="Times New Roman" w:hAnsi="Times New Roman" w:cs="Times New Roman"/>
                <w:color w:val="auto"/>
                <w:sz w:val="21"/>
                <w:szCs w:val="21"/>
                <w:highlight w:val="none"/>
                <w:lang w:eastAsia="zh-CN"/>
              </w:rPr>
              <w:t>兴义市国土资源局颁发的关于《贵州</w:t>
            </w: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eastAsia="zh-CN"/>
              </w:rPr>
              <w:t>华联城项目》的国有土地使用证。</w:t>
            </w:r>
          </w:p>
          <w:p>
            <w:pPr>
              <w:pStyle w:val="30"/>
              <w:spacing w:line="360" w:lineRule="auto"/>
              <w:ind w:left="0" w:leftChars="0" w:right="0" w:firstLine="420" w:firstLineChars="200"/>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2013年8月22日，取得兴义市发展和改革局关于《贵州·华联城（一期）项目》开展前期工作的函，兴发改字[2013]582号。</w:t>
            </w:r>
          </w:p>
          <w:p>
            <w:pPr>
              <w:pStyle w:val="30"/>
              <w:spacing w:line="360" w:lineRule="auto"/>
              <w:ind w:left="0" w:leftChars="0" w:right="0" w:firstLine="420" w:firstLineChars="200"/>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（3）2013年11月18日，取得取得兴义市发展和改革局关于兴泰街道办棚户区改造项目《贵州·华联城（一期）项目》备案通知，兴发改字[2013]435号。</w:t>
            </w:r>
          </w:p>
          <w:p>
            <w:pPr>
              <w:pStyle w:val="30"/>
              <w:spacing w:line="360" w:lineRule="auto"/>
              <w:ind w:left="0" w:leftChars="0" w:right="0" w:firstLine="420" w:firstLineChars="200"/>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（5）2014年2月，《贵州·华联城（一期）项目环境影响报告书》，西藏国策环保科技股份有限公司。</w:t>
            </w:r>
          </w:p>
          <w:p>
            <w:pPr>
              <w:pStyle w:val="30"/>
              <w:spacing w:line="360" w:lineRule="auto"/>
              <w:ind w:left="0" w:leftChars="0" w:right="0" w:firstLine="420" w:firstLineChars="200"/>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（6）2014年3月21日，取得兴义市环境保护局关于对《贵州·华联城（一期）建设项目环境影响报告书》的批复，兴市环审[2014]31号。</w:t>
            </w:r>
          </w:p>
          <w:p>
            <w:pPr>
              <w:pStyle w:val="30"/>
              <w:spacing w:line="360" w:lineRule="auto"/>
              <w:ind w:left="0" w:leftChars="0" w:right="0" w:firstLine="420" w:firstLineChars="200"/>
              <w:jc w:val="both"/>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项目于2014年7月开工建设，2016年2月竣工。</w:t>
            </w:r>
          </w:p>
          <w:p>
            <w:pPr>
              <w:spacing w:line="360" w:lineRule="auto"/>
              <w:ind w:firstLine="420"/>
              <w:rPr>
                <w:rFonts w:hint="eastAsia" w:ascii="Times New Roman" w:hAnsi="Times New Roman" w:cs="Times New Roman"/>
                <w:sz w:val="21"/>
                <w:szCs w:val="21"/>
                <w:highlight w:val="none"/>
                <w:lang w:val="en-US" w:eastAsia="zh-CN"/>
              </w:rPr>
            </w:pPr>
            <w:r>
              <w:rPr>
                <w:rFonts w:hint="eastAsia"/>
                <w:sz w:val="21"/>
                <w:szCs w:val="21"/>
                <w:highlight w:val="none"/>
                <w:lang w:eastAsia="zh-CN"/>
              </w:rPr>
              <w:t>根据《中华人民共和国环境保护法》及《建设项目环境保护竣工验收管理办法》等有关规定，按照环境保护设施“三同时”制度的要求，受贵州华联城房地产开发有限公司委托，贵州省洪鑫环境检测服务有限公司承担了本项目竣工环境保护验收调查任务。验收项目组对项目周</w:t>
            </w:r>
            <w:r>
              <w:rPr>
                <w:rFonts w:hint="default" w:ascii="Times New Roman" w:hAnsi="Times New Roman" w:cs="Times New Roman"/>
                <w:sz w:val="21"/>
                <w:szCs w:val="21"/>
                <w:highlight w:val="none"/>
                <w:lang w:eastAsia="zh-CN"/>
              </w:rPr>
              <w:t>边进行了项目调查和资料收集，并进行现状检测，在此基础上，于</w:t>
            </w:r>
            <w:r>
              <w:rPr>
                <w:rFonts w:hint="default" w:ascii="Times New Roman" w:hAnsi="Times New Roman" w:cs="Times New Roman"/>
                <w:sz w:val="21"/>
                <w:szCs w:val="21"/>
                <w:highlight w:val="none"/>
                <w:lang w:val="en-US" w:eastAsia="zh-CN"/>
              </w:rPr>
              <w:t>2017年</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lang w:val="en-US" w:eastAsia="zh-CN"/>
              </w:rPr>
              <w:t>月编制完成了</w:t>
            </w:r>
            <w:r>
              <w:rPr>
                <w:rFonts w:hint="eastAsia" w:ascii="Times New Roman" w:hAnsi="Times New Roman" w:cs="Times New Roman"/>
                <w:sz w:val="21"/>
                <w:szCs w:val="21"/>
                <w:highlight w:val="none"/>
                <w:lang w:val="en-US" w:eastAsia="zh-CN"/>
              </w:rPr>
              <w:t>《</w:t>
            </w:r>
            <w:r>
              <w:rPr>
                <w:rFonts w:hint="eastAsia"/>
                <w:sz w:val="21"/>
                <w:szCs w:val="21"/>
                <w:highlight w:val="none"/>
                <w:lang w:eastAsia="zh-CN"/>
              </w:rPr>
              <w:t>贵州·华联城（一期）竣工环境保护验收调查报告表</w:t>
            </w:r>
            <w:r>
              <w:rPr>
                <w:rFonts w:hint="eastAsia" w:ascii="Times New Roman" w:hAnsi="Times New Roman" w:cs="Times New Roman"/>
                <w:sz w:val="21"/>
                <w:szCs w:val="21"/>
                <w:highlight w:val="none"/>
                <w:lang w:val="en-US" w:eastAsia="zh-CN"/>
              </w:rPr>
              <w:t>》。</w:t>
            </w:r>
          </w:p>
          <w:p>
            <w:pPr>
              <w:spacing w:line="360" w:lineRule="auto"/>
              <w:ind w:firstLine="420"/>
              <w:rPr>
                <w:rFonts w:hint="eastAsia" w:ascii="Times New Roman" w:hAnsi="Times New Roman" w:cs="Times New Roman"/>
                <w:sz w:val="21"/>
                <w:szCs w:val="21"/>
                <w:highlight w:val="none"/>
                <w:lang w:val="en-US" w:eastAsia="zh-CN"/>
              </w:rPr>
            </w:pPr>
          </w:p>
          <w:p>
            <w:pPr>
              <w:spacing w:line="360" w:lineRule="auto"/>
              <w:ind w:firstLine="420"/>
              <w:rPr>
                <w:rFonts w:hint="eastAsia" w:ascii="Times New Roman" w:hAnsi="Times New Roman" w:cs="Times New Roman"/>
                <w:sz w:val="21"/>
                <w:szCs w:val="21"/>
                <w:highlight w:val="none"/>
                <w:lang w:val="en-US" w:eastAsia="zh-CN"/>
              </w:rPr>
            </w:pPr>
          </w:p>
          <w:p>
            <w:pPr>
              <w:spacing w:line="360" w:lineRule="auto"/>
              <w:ind w:firstLine="420"/>
              <w:rPr>
                <w:rFonts w:hint="eastAsia" w:ascii="Times New Roman" w:hAnsi="Times New Roman" w:cs="Times New Roman"/>
                <w:sz w:val="21"/>
                <w:szCs w:val="21"/>
                <w:highlight w:val="none"/>
                <w:lang w:val="en-US" w:eastAsia="zh-CN"/>
              </w:rPr>
            </w:pPr>
          </w:p>
          <w:p>
            <w:pPr>
              <w:spacing w:line="360" w:lineRule="auto"/>
              <w:ind w:firstLine="420"/>
              <w:rPr>
                <w:rFonts w:hint="eastAsia" w:ascii="Times New Roman" w:hAnsi="Times New Roman" w:cs="Times New Roman"/>
                <w:sz w:val="21"/>
                <w:szCs w:val="21"/>
                <w:highlight w:val="none"/>
                <w:lang w:val="en-US" w:eastAsia="zh-CN"/>
              </w:rPr>
            </w:pPr>
          </w:p>
          <w:p>
            <w:pPr>
              <w:spacing w:line="360" w:lineRule="auto"/>
              <w:rPr>
                <w:rFonts w:hint="eastAsia" w:ascii="Times New Roman" w:hAnsi="Times New Roman" w:cs="Times New Roman"/>
                <w:sz w:val="21"/>
                <w:szCs w:val="21"/>
                <w:highlight w:val="none"/>
                <w:lang w:val="en-US" w:eastAsia="zh-CN"/>
              </w:rPr>
            </w:pPr>
          </w:p>
        </w:tc>
      </w:tr>
    </w:tbl>
    <w:p>
      <w:pPr>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eastAsia="zh-CN"/>
        </w:rPr>
        <w:t>表</w:t>
      </w:r>
      <w:r>
        <w:rPr>
          <w:rFonts w:hint="eastAsia" w:ascii="Times New Roman" w:hAnsi="Times New Roman" w:eastAsia="宋体" w:cs="Times New Roman"/>
          <w:b/>
          <w:bCs/>
          <w:sz w:val="28"/>
          <w:szCs w:val="28"/>
          <w:lang w:val="en-US" w:eastAsia="zh-CN"/>
        </w:rPr>
        <w:t>2调查范围、因子、目标、重点</w:t>
      </w:r>
    </w:p>
    <w:tbl>
      <w:tblPr>
        <w:tblStyle w:val="19"/>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7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449" w:type="dxa"/>
            <w:vAlign w:val="center"/>
          </w:tcPr>
          <w:p>
            <w:pPr>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调查重点</w:t>
            </w:r>
          </w:p>
        </w:tc>
        <w:tc>
          <w:tcPr>
            <w:tcW w:w="7691" w:type="dxa"/>
          </w:tcPr>
          <w:p>
            <w:pPr>
              <w:spacing w:line="360" w:lineRule="auto"/>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p>
          <w:p>
            <w:pPr>
              <w:spacing w:line="360" w:lineRule="auto"/>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1、</w:t>
            </w:r>
            <w:r>
              <w:rPr>
                <w:rFonts w:hint="default" w:ascii="Times New Roman" w:hAnsi="Times New Roman" w:cs="Times New Roman"/>
                <w:sz w:val="21"/>
                <w:szCs w:val="21"/>
                <w:lang w:val="en-US" w:eastAsia="zh-CN"/>
              </w:rPr>
              <w:t>生态环境：项目周围200米范围内的区域及敏感点；</w:t>
            </w:r>
          </w:p>
          <w:p>
            <w:pPr>
              <w:spacing w:line="360" w:lineRule="auto"/>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2、</w:t>
            </w:r>
            <w:r>
              <w:rPr>
                <w:rFonts w:hint="default" w:ascii="Times New Roman" w:hAnsi="Times New Roman" w:cs="Times New Roman"/>
                <w:sz w:val="21"/>
                <w:szCs w:val="21"/>
                <w:lang w:val="en-US" w:eastAsia="zh-CN"/>
              </w:rPr>
              <w:t>大气环境：项目周围200米范围内的区域及敏感点；</w:t>
            </w:r>
          </w:p>
          <w:p>
            <w:pPr>
              <w:spacing w:line="360" w:lineRule="auto"/>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3、</w:t>
            </w:r>
            <w:r>
              <w:rPr>
                <w:rFonts w:hint="default" w:ascii="Times New Roman" w:hAnsi="Times New Roman" w:cs="Times New Roman"/>
                <w:sz w:val="21"/>
                <w:szCs w:val="21"/>
                <w:lang w:val="en-US" w:eastAsia="zh-CN"/>
              </w:rPr>
              <w:t>水环境：项目废水处置措施及去向；</w:t>
            </w:r>
          </w:p>
          <w:p>
            <w:pPr>
              <w:spacing w:line="360" w:lineRule="auto"/>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4、</w:t>
            </w:r>
            <w:r>
              <w:rPr>
                <w:rFonts w:hint="default" w:ascii="Times New Roman" w:hAnsi="Times New Roman" w:cs="Times New Roman"/>
                <w:sz w:val="21"/>
                <w:szCs w:val="21"/>
                <w:lang w:val="en-US" w:eastAsia="zh-CN"/>
              </w:rPr>
              <w:t>固体废物：固体废弃物的处理措施；</w:t>
            </w:r>
          </w:p>
          <w:p>
            <w:pPr>
              <w:spacing w:line="360" w:lineRule="auto"/>
              <w:ind w:firstLine="48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5、声</w:t>
            </w:r>
            <w:r>
              <w:rPr>
                <w:rFonts w:hint="default" w:ascii="Times New Roman" w:hAnsi="Times New Roman" w:cs="Times New Roman"/>
                <w:sz w:val="21"/>
                <w:szCs w:val="21"/>
                <w:lang w:val="en-US" w:eastAsia="zh-CN"/>
              </w:rPr>
              <w:t>环境：项目周围200米范围内的区域及敏感点</w:t>
            </w:r>
            <w:r>
              <w:rPr>
                <w:rFonts w:hint="eastAsia" w:ascii="Times New Roman" w:hAnsi="Times New Roman" w:cs="Times New Roman"/>
                <w:sz w:val="21"/>
                <w:szCs w:val="21"/>
                <w:lang w:val="en-US" w:eastAsia="zh-CN"/>
              </w:rPr>
              <w:t>。</w:t>
            </w:r>
          </w:p>
          <w:p>
            <w:pPr>
              <w:spacing w:line="360" w:lineRule="auto"/>
              <w:ind w:firstLine="480"/>
              <w:jc w:val="left"/>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49" w:type="dxa"/>
            <w:vAlign w:val="center"/>
          </w:tcPr>
          <w:p>
            <w:pPr>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调查因子</w:t>
            </w:r>
          </w:p>
        </w:tc>
        <w:tc>
          <w:tcPr>
            <w:tcW w:w="7691" w:type="dxa"/>
          </w:tcPr>
          <w:p>
            <w:pPr>
              <w:spacing w:line="360" w:lineRule="auto"/>
              <w:ind w:firstLine="420" w:firstLineChars="200"/>
              <w:rPr>
                <w:rFonts w:hint="default" w:ascii="Times New Roman" w:hAnsi="Times New Roman" w:cs="Times New Roman"/>
                <w:sz w:val="21"/>
                <w:szCs w:val="21"/>
              </w:rPr>
            </w:pPr>
          </w:p>
          <w:p>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1、生态环境：调查项目施工中植被保护、破环和进行恢复的情况，以及工程占地类型、实际占地情况，临时占地的植被恢复情况</w:t>
            </w:r>
            <w:r>
              <w:rPr>
                <w:rFonts w:hint="eastAsia" w:ascii="Times New Roman" w:hAnsi="Times New Roman" w:cs="Times New Roman"/>
                <w:sz w:val="21"/>
                <w:szCs w:val="21"/>
                <w:lang w:eastAsia="zh-CN"/>
              </w:rPr>
              <w:t>；</w:t>
            </w:r>
          </w:p>
          <w:p>
            <w:pPr>
              <w:spacing w:line="360" w:lineRule="auto"/>
              <w:ind w:firstLine="420" w:firstLineChars="200"/>
              <w:rPr>
                <w:rFonts w:hint="default" w:ascii="Times New Roman" w:hAnsi="Times New Roman" w:cs="Times New Roman"/>
                <w:sz w:val="21"/>
                <w:szCs w:val="21"/>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、水污染源：pH、SS、CODcr、BOD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、氨氮、石油类、动植物油</w:t>
            </w:r>
            <w:r>
              <w:rPr>
                <w:rFonts w:hint="eastAsia" w:ascii="Times New Roman" w:hAnsi="Times New Roman" w:cs="Times New Roman"/>
                <w:sz w:val="21"/>
                <w:szCs w:val="21"/>
                <w:lang w:eastAsia="zh-CN"/>
              </w:rPr>
              <w:t>；</w:t>
            </w:r>
          </w:p>
          <w:p>
            <w:pPr>
              <w:spacing w:line="360" w:lineRule="auto"/>
              <w:ind w:firstLine="420" w:firstLineChars="200"/>
              <w:rPr>
                <w:rFonts w:hint="default" w:ascii="Times New Roman" w:hAnsi="Times New Roman"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、固体废弃物：</w:t>
            </w:r>
            <w:r>
              <w:rPr>
                <w:rFonts w:hint="eastAsia" w:ascii="Times New Roman" w:hAnsi="Times New Roman" w:cs="Times New Roman"/>
                <w:sz w:val="21"/>
                <w:szCs w:val="21"/>
                <w:lang w:eastAsia="zh-CN"/>
              </w:rPr>
              <w:t>建筑垃圾、弃方、生活垃圾。</w:t>
            </w:r>
          </w:p>
          <w:p>
            <w:pPr>
              <w:spacing w:line="360" w:lineRule="auto"/>
              <w:ind w:firstLine="420" w:firstLineChars="200"/>
              <w:rPr>
                <w:rFonts w:hint="eastAsia" w:ascii="Times New Roman" w:hAnsi="Times New Roman" w:cs="Times New Roman" w:eastAsiaTheme="minorEastAsia"/>
                <w:sz w:val="21"/>
                <w:szCs w:val="21"/>
                <w:lang w:val="en-US" w:eastAsia="zh-CN"/>
              </w:rPr>
            </w:pPr>
          </w:p>
          <w:p>
            <w:pPr>
              <w:jc w:val="both"/>
              <w:rPr>
                <w:rFonts w:hint="default" w:ascii="Times New Roman" w:hAnsi="Times New Roman" w:eastAsia="宋体" w:cs="Times New Roman"/>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8" w:hRule="atLeast"/>
        </w:trPr>
        <w:tc>
          <w:tcPr>
            <w:tcW w:w="1449" w:type="dxa"/>
            <w:vAlign w:val="center"/>
          </w:tcPr>
          <w:p>
            <w:pPr>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w:t>
            </w:r>
          </w:p>
          <w:p>
            <w:pPr>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境</w:t>
            </w:r>
          </w:p>
          <w:p>
            <w:pPr>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敏</w:t>
            </w:r>
          </w:p>
          <w:p>
            <w:pPr>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感</w:t>
            </w:r>
          </w:p>
          <w:p>
            <w:pPr>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目</w:t>
            </w:r>
          </w:p>
          <w:p>
            <w:pPr>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标</w:t>
            </w:r>
          </w:p>
        </w:tc>
        <w:tc>
          <w:tcPr>
            <w:tcW w:w="7691" w:type="dxa"/>
          </w:tcPr>
          <w:p>
            <w:pPr>
              <w:spacing w:line="240" w:lineRule="auto"/>
              <w:jc w:val="both"/>
              <w:rPr>
                <w:rFonts w:hint="eastAsia" w:ascii="宋体" w:hAnsi="宋体"/>
                <w:b/>
                <w:bCs/>
                <w:color w:val="000000"/>
                <w:sz w:val="21"/>
                <w:szCs w:val="21"/>
              </w:rPr>
            </w:pPr>
          </w:p>
          <w:tbl>
            <w:tblPr>
              <w:tblStyle w:val="18"/>
              <w:tblW w:w="750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818"/>
              <w:gridCol w:w="1263"/>
              <w:gridCol w:w="1522"/>
              <w:gridCol w:w="27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1099"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保护目标</w:t>
                  </w:r>
                </w:p>
              </w:tc>
              <w:tc>
                <w:tcPr>
                  <w:tcW w:w="818"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规模</w:t>
                  </w:r>
                </w:p>
              </w:tc>
              <w:tc>
                <w:tcPr>
                  <w:tcW w:w="1263"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保护类别</w:t>
                  </w:r>
                </w:p>
              </w:tc>
              <w:tc>
                <w:tcPr>
                  <w:tcW w:w="1522"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保护目标</w:t>
                  </w:r>
                </w:p>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位置</w:t>
                  </w:r>
                </w:p>
              </w:tc>
              <w:tc>
                <w:tcPr>
                  <w:tcW w:w="2798" w:type="dxa"/>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trPr>
              <w:tc>
                <w:tcPr>
                  <w:tcW w:w="1099" w:type="dxa"/>
                  <w:tcBorders>
                    <w:tl2br w:val="nil"/>
                    <w:tr2bl w:val="nil"/>
                  </w:tcBorders>
                  <w:vAlign w:val="center"/>
                </w:tcPr>
                <w:p>
                  <w:pPr>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兴泰安置区</w:t>
                  </w:r>
                </w:p>
              </w:tc>
              <w:tc>
                <w:tcPr>
                  <w:tcW w:w="818" w:type="dxa"/>
                  <w:tcBorders>
                    <w:tl2br w:val="nil"/>
                    <w:tr2bl w:val="nil"/>
                  </w:tcBorders>
                  <w:vAlign w:val="center"/>
                </w:tcPr>
                <w:p>
                  <w:pPr>
                    <w:spacing w:line="240" w:lineRule="auto"/>
                    <w:jc w:val="center"/>
                    <w:rPr>
                      <w:rFonts w:hint="eastAsia" w:ascii="Times New Roman" w:hAnsi="Times New Roman" w:cs="Times New Roman" w:eastAsiaTheme="minorEastAsia"/>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w:t>
                  </w:r>
                </w:p>
              </w:tc>
              <w:tc>
                <w:tcPr>
                  <w:tcW w:w="1263" w:type="dxa"/>
                  <w:vMerge w:val="restart"/>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声环境</w:t>
                  </w:r>
                </w:p>
                <w:p>
                  <w:pPr>
                    <w:spacing w:line="240" w:lineRule="auto"/>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大气环境</w:t>
                  </w:r>
                </w:p>
              </w:tc>
              <w:tc>
                <w:tcPr>
                  <w:tcW w:w="1522" w:type="dxa"/>
                  <w:tcBorders>
                    <w:tl2br w:val="nil"/>
                    <w:tr2bl w:val="nil"/>
                  </w:tcBorders>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E10 m</w:t>
                  </w:r>
                </w:p>
              </w:tc>
              <w:tc>
                <w:tcPr>
                  <w:tcW w:w="2798" w:type="dxa"/>
                  <w:vMerge w:val="restart"/>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pacing w:val="10"/>
                      <w:sz w:val="21"/>
                      <w:szCs w:val="21"/>
                      <w:highlight w:val="none"/>
                      <w:u w:val="none" w:color="000000"/>
                    </w:rPr>
                    <w:t>《声环境质量标准》（GB3096-2008）</w:t>
                  </w:r>
                  <w:r>
                    <w:rPr>
                      <w:rFonts w:hint="default" w:ascii="Times New Roman" w:hAnsi="Times New Roman" w:cs="Times New Roman"/>
                      <w:b w:val="0"/>
                      <w:bCs w:val="0"/>
                      <w:color w:val="auto"/>
                      <w:sz w:val="21"/>
                      <w:szCs w:val="21"/>
                      <w:highlight w:val="none"/>
                    </w:rPr>
                    <w:t>2类区标准</w:t>
                  </w:r>
                </w:p>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《环境空气质量标准》（GB3095-1996）二级标准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58" w:hRule="atLeast"/>
              </w:trPr>
              <w:tc>
                <w:tcPr>
                  <w:tcW w:w="1099" w:type="dxa"/>
                  <w:tcBorders>
                    <w:tl2br w:val="nil"/>
                    <w:tr2bl w:val="nil"/>
                  </w:tcBorders>
                  <w:vAlign w:val="center"/>
                </w:tcPr>
                <w:p>
                  <w:pPr>
                    <w:spacing w:line="240" w:lineRule="auto"/>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万鑫黄金城</w:t>
                  </w:r>
                </w:p>
              </w:tc>
              <w:tc>
                <w:tcPr>
                  <w:tcW w:w="818" w:type="dxa"/>
                  <w:tcBorders>
                    <w:tl2br w:val="nil"/>
                    <w:tr2bl w:val="nil"/>
                  </w:tcBorders>
                  <w:vAlign w:val="center"/>
                </w:tcPr>
                <w:p>
                  <w:pPr>
                    <w:spacing w:line="240" w:lineRule="auto"/>
                    <w:jc w:val="center"/>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w:t>
                  </w:r>
                </w:p>
              </w:tc>
              <w:tc>
                <w:tcPr>
                  <w:tcW w:w="1263" w:type="dxa"/>
                  <w:vMerge w:val="continue"/>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p>
              </w:tc>
              <w:tc>
                <w:tcPr>
                  <w:tcW w:w="1522" w:type="dxa"/>
                  <w:tcBorders>
                    <w:tl2br w:val="nil"/>
                    <w:tr2bl w:val="nil"/>
                  </w:tcBorders>
                  <w:vAlign w:val="center"/>
                </w:tcPr>
                <w:p>
                  <w:pPr>
                    <w:spacing w:line="240" w:lineRule="auto"/>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W10 m</w:t>
                  </w:r>
                </w:p>
              </w:tc>
              <w:tc>
                <w:tcPr>
                  <w:tcW w:w="2798" w:type="dxa"/>
                  <w:vMerge w:val="continue"/>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75" w:hRule="atLeast"/>
              </w:trPr>
              <w:tc>
                <w:tcPr>
                  <w:tcW w:w="1099" w:type="dxa"/>
                  <w:tcBorders>
                    <w:tl2br w:val="nil"/>
                    <w:tr2bl w:val="nil"/>
                  </w:tcBorders>
                  <w:vAlign w:val="center"/>
                </w:tcPr>
                <w:p>
                  <w:pPr>
                    <w:spacing w:line="240" w:lineRule="auto"/>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水木清华小区</w:t>
                  </w:r>
                </w:p>
              </w:tc>
              <w:tc>
                <w:tcPr>
                  <w:tcW w:w="818" w:type="dxa"/>
                  <w:tcBorders>
                    <w:tl2br w:val="nil"/>
                    <w:tr2bl w:val="nil"/>
                  </w:tcBorders>
                  <w:vAlign w:val="center"/>
                </w:tcPr>
                <w:p>
                  <w:pPr>
                    <w:spacing w:line="240" w:lineRule="auto"/>
                    <w:jc w:val="center"/>
                    <w:rPr>
                      <w:rFonts w:hint="eastAsia" w:ascii="Times New Roman" w:hAnsi="Times New Roman"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w:t>
                  </w:r>
                </w:p>
              </w:tc>
              <w:tc>
                <w:tcPr>
                  <w:tcW w:w="1263" w:type="dxa"/>
                  <w:vMerge w:val="continue"/>
                  <w:tcBorders>
                    <w:tl2br w:val="nil"/>
                    <w:tr2bl w:val="nil"/>
                  </w:tcBorders>
                  <w:vAlign w:val="center"/>
                </w:tcPr>
                <w:p>
                  <w:pPr>
                    <w:spacing w:line="240" w:lineRule="auto"/>
                    <w:jc w:val="center"/>
                    <w:rPr>
                      <w:rFonts w:hint="default" w:ascii="Times New Roman" w:hAnsi="Times New Roman" w:cs="Times New Roman"/>
                      <w:b w:val="0"/>
                      <w:bCs w:val="0"/>
                      <w:color w:val="auto"/>
                      <w:sz w:val="21"/>
                      <w:szCs w:val="21"/>
                      <w:highlight w:val="none"/>
                    </w:rPr>
                  </w:pPr>
                </w:p>
              </w:tc>
              <w:tc>
                <w:tcPr>
                  <w:tcW w:w="1522" w:type="dxa"/>
                  <w:tcBorders>
                    <w:tl2br w:val="nil"/>
                    <w:tr2bl w:val="nil"/>
                  </w:tcBorders>
                  <w:vAlign w:val="center"/>
                </w:tcPr>
                <w:p>
                  <w:pPr>
                    <w:spacing w:line="240" w:lineRule="auto"/>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W10 m</w:t>
                  </w:r>
                </w:p>
              </w:tc>
              <w:tc>
                <w:tcPr>
                  <w:tcW w:w="2798" w:type="dxa"/>
                  <w:vMerge w:val="continue"/>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trPr>
              <w:tc>
                <w:tcPr>
                  <w:tcW w:w="1099"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万峰郡府小区</w:t>
                  </w:r>
                </w:p>
              </w:tc>
              <w:tc>
                <w:tcPr>
                  <w:tcW w:w="818"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eastAsia="zh-CN"/>
                    </w:rPr>
                    <w:t>—</w:t>
                  </w:r>
                </w:p>
              </w:tc>
              <w:tc>
                <w:tcPr>
                  <w:tcW w:w="1263" w:type="dxa"/>
                  <w:vMerge w:val="continue"/>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p>
              </w:tc>
              <w:tc>
                <w:tcPr>
                  <w:tcW w:w="1522"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NW150m</w:t>
                  </w:r>
                </w:p>
              </w:tc>
              <w:tc>
                <w:tcPr>
                  <w:tcW w:w="2798" w:type="dxa"/>
                  <w:vMerge w:val="continue"/>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trPr>
              <w:tc>
                <w:tcPr>
                  <w:tcW w:w="1099" w:type="dxa"/>
                  <w:tcBorders>
                    <w:tl2br w:val="nil"/>
                    <w:tr2bl w:val="nil"/>
                  </w:tcBorders>
                  <w:vAlign w:val="center"/>
                </w:tcPr>
                <w:p>
                  <w:pPr>
                    <w:spacing w:line="240" w:lineRule="auto"/>
                    <w:ind w:left="0" w:leftChars="0" w:right="0" w:rightChars="0" w:firstLine="0" w:firstLineChars="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纳灰河</w:t>
                  </w:r>
                </w:p>
              </w:tc>
              <w:tc>
                <w:tcPr>
                  <w:tcW w:w="818"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w:t>
                  </w: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eastAsia="zh-CN"/>
                    </w:rPr>
                    <w:t>—</w:t>
                  </w:r>
                </w:p>
              </w:tc>
              <w:tc>
                <w:tcPr>
                  <w:tcW w:w="1263" w:type="dxa"/>
                  <w:tcBorders>
                    <w:tl2br w:val="nil"/>
                    <w:tr2bl w:val="nil"/>
                  </w:tcBorders>
                  <w:vAlign w:val="center"/>
                </w:tcPr>
                <w:p>
                  <w:pPr>
                    <w:spacing w:line="240" w:lineRule="auto"/>
                    <w:ind w:left="0" w:leftChars="0" w:right="0" w:rightChars="0" w:firstLine="0" w:firstLineChars="0"/>
                    <w:jc w:val="center"/>
                    <w:rPr>
                      <w:rFonts w:hint="eastAsia"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地表水环境</w:t>
                  </w:r>
                </w:p>
              </w:tc>
              <w:tc>
                <w:tcPr>
                  <w:tcW w:w="1522" w:type="dxa"/>
                  <w:tcBorders>
                    <w:tl2br w:val="nil"/>
                    <w:tr2bl w:val="nil"/>
                  </w:tcBorders>
                  <w:vAlign w:val="center"/>
                </w:tcPr>
                <w:p>
                  <w:pPr>
                    <w:spacing w:line="240" w:lineRule="auto"/>
                    <w:ind w:left="0" w:leftChars="0" w:right="0" w:rightChars="0"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2798" w:type="dxa"/>
                  <w:tcBorders>
                    <w:tl2br w:val="nil"/>
                    <w:tr2bl w:val="nil"/>
                  </w:tcBorders>
                  <w:vAlign w:val="center"/>
                </w:tcPr>
                <w:p>
                  <w:pPr>
                    <w:spacing w:line="240" w:lineRule="auto"/>
                    <w:ind w:left="0" w:leftChars="0" w:right="0" w:righ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《地表水环境质量标准》（GB3838-2002）Ⅲ类标准</w:t>
                  </w:r>
                </w:p>
              </w:tc>
            </w:tr>
          </w:tbl>
          <w:p>
            <w:pPr>
              <w:jc w:val="center"/>
              <w:rPr>
                <w:rFonts w:hint="default" w:ascii="Times New Roman" w:hAnsi="Times New Roman" w:eastAsia="宋体" w:cs="Times New Roman"/>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trPr>
        <w:tc>
          <w:tcPr>
            <w:tcW w:w="1449" w:type="dxa"/>
            <w:vAlign w:val="center"/>
          </w:tcPr>
          <w:p>
            <w:pPr>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调查重点</w:t>
            </w:r>
          </w:p>
        </w:tc>
        <w:tc>
          <w:tcPr>
            <w:tcW w:w="7691" w:type="dxa"/>
          </w:tcPr>
          <w:p>
            <w:pPr>
              <w:spacing w:line="360" w:lineRule="auto"/>
              <w:ind w:firstLine="480"/>
              <w:jc w:val="left"/>
              <w:rPr>
                <w:rFonts w:hint="eastAsia"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环保措施落实情况及处理效果、达标排放情况。</w:t>
            </w:r>
          </w:p>
          <w:p>
            <w:pPr>
              <w:ind w:firstLine="480"/>
              <w:jc w:val="left"/>
              <w:rPr>
                <w:rFonts w:hint="default" w:ascii="Times New Roman" w:hAnsi="Times New Roman" w:cs="Times New Roman"/>
                <w:sz w:val="21"/>
                <w:szCs w:val="21"/>
                <w:lang w:val="en-US" w:eastAsia="zh-CN"/>
              </w:rPr>
            </w:pPr>
          </w:p>
        </w:tc>
      </w:tr>
    </w:tbl>
    <w:p>
      <w:pPr>
        <w:spacing w:line="360" w:lineRule="auto"/>
        <w:jc w:val="center"/>
        <w:rPr>
          <w:rFonts w:hint="eastAsia" w:ascii="Times New Roman" w:hAnsi="Times New Roman" w:eastAsia="宋体" w:cs="Times New Roman"/>
          <w:b/>
          <w:bCs/>
          <w:sz w:val="28"/>
          <w:szCs w:val="28"/>
          <w:lang w:val="en-US" w:eastAsia="zh-CN"/>
        </w:rPr>
      </w:pPr>
    </w:p>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表3  验收执行标准</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vAlign w:val="center"/>
          </w:tcPr>
          <w:p>
            <w:pPr>
              <w:spacing w:line="360" w:lineRule="auto"/>
              <w:jc w:val="left"/>
              <w:rPr>
                <w:rFonts w:hint="default" w:ascii="Times New Roman" w:hAnsi="Times New Roman" w:eastAsia="宋体" w:cs="Times New Roman"/>
                <w:b/>
                <w:bCs/>
                <w:sz w:val="28"/>
                <w:szCs w:val="28"/>
                <w:vertAlign w:val="baseline"/>
                <w:lang w:val="en-US" w:eastAsia="zh-CN"/>
              </w:rPr>
            </w:pPr>
            <w:r>
              <w:rPr>
                <w:rFonts w:hint="default" w:ascii="Times New Roman" w:hAnsi="Times New Roman" w:cs="Times New Roman"/>
                <w:sz w:val="24"/>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本次验收调查原则上采用工程环境影响评价时所采用的环境标准，对已修订新颁布的标准则采用替代后的新标准进行校核。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3" w:hRule="atLeast"/>
        </w:trPr>
        <w:tc>
          <w:tcPr>
            <w:tcW w:w="75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环</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境</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质</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量</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标</w:t>
            </w:r>
          </w:p>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准</w:t>
            </w:r>
          </w:p>
        </w:tc>
        <w:tc>
          <w:tcPr>
            <w:tcW w:w="7763" w:type="dxa"/>
          </w:tcPr>
          <w:p>
            <w:pPr>
              <w:spacing w:line="360" w:lineRule="auto"/>
              <w:rPr>
                <w:rFonts w:hint="default" w:ascii="Times New Roman" w:hAnsi="Times New Roman" w:eastAsia="黑体" w:cs="Times New Roman"/>
                <w:sz w:val="21"/>
                <w:szCs w:val="21"/>
              </w:rPr>
            </w:pPr>
            <w:r>
              <w:rPr>
                <w:rFonts w:hint="default"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rPr>
              <w:t>1、环境空气质量标准</w:t>
            </w:r>
          </w:p>
          <w:p>
            <w:pPr>
              <w:widowControl/>
              <w:spacing w:line="360" w:lineRule="auto"/>
              <w:ind w:firstLine="420" w:firstLineChars="200"/>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原环评报告：</w:t>
            </w:r>
            <w:r>
              <w:rPr>
                <w:rFonts w:hint="default" w:ascii="Times New Roman" w:hAnsi="Times New Roman" w:cs="Times New Roman"/>
                <w:color w:val="000000"/>
                <w:sz w:val="21"/>
                <w:szCs w:val="21"/>
              </w:rPr>
              <w:t>环境空气质量执行国家《环境空气质量标准》GB3095-1996中二级标准。</w:t>
            </w:r>
          </w:p>
          <w:p>
            <w:pPr>
              <w:widowControl/>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lang w:eastAsia="zh-CN"/>
              </w:rPr>
              <w:t>现行标准：</w:t>
            </w:r>
            <w:r>
              <w:rPr>
                <w:rFonts w:hint="default" w:ascii="Times New Roman" w:hAnsi="Times New Roman" w:cs="Times New Roman"/>
                <w:sz w:val="21"/>
                <w:szCs w:val="21"/>
              </w:rPr>
              <w:t>环境空气质量执行《环境空气质量标准》（GB3095-2012）二级标准。标准值见表</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-1。</w:t>
            </w:r>
          </w:p>
          <w:p>
            <w:pPr>
              <w:widowControl/>
              <w:spacing w:line="360" w:lineRule="auto"/>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3</w:t>
            </w:r>
            <w:r>
              <w:rPr>
                <w:rFonts w:hint="default" w:ascii="Times New Roman" w:hAnsi="Times New Roman" w:eastAsia="黑体" w:cs="Times New Roman"/>
                <w:sz w:val="21"/>
                <w:szCs w:val="21"/>
              </w:rPr>
              <w:t>-1  环境空气质量标准</w:t>
            </w:r>
          </w:p>
          <w:tbl>
            <w:tblPr>
              <w:tblStyle w:val="18"/>
              <w:tblW w:w="76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1467"/>
              <w:gridCol w:w="1437"/>
              <w:gridCol w:w="1330"/>
              <w:gridCol w:w="1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2123" w:type="dxa"/>
                  <w:vAlign w:val="center"/>
                </w:tcPr>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取值时段</w:t>
                  </w:r>
                </w:p>
              </w:tc>
              <w:tc>
                <w:tcPr>
                  <w:tcW w:w="1467" w:type="dxa"/>
                  <w:vAlign w:val="center"/>
                </w:tcPr>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单位</w:t>
                  </w:r>
                </w:p>
              </w:tc>
              <w:tc>
                <w:tcPr>
                  <w:tcW w:w="1437" w:type="dxa"/>
                  <w:vAlign w:val="center"/>
                </w:tcPr>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SO</w:t>
                  </w:r>
                  <w:r>
                    <w:rPr>
                      <w:rFonts w:hint="default" w:ascii="Times New Roman" w:hAnsi="Times New Roman" w:cs="Times New Roman"/>
                      <w:b/>
                      <w:bCs/>
                      <w:sz w:val="21"/>
                      <w:szCs w:val="21"/>
                      <w:vertAlign w:val="subscript"/>
                    </w:rPr>
                    <w:t>2</w:t>
                  </w:r>
                </w:p>
              </w:tc>
              <w:tc>
                <w:tcPr>
                  <w:tcW w:w="1330" w:type="dxa"/>
                  <w:vAlign w:val="center"/>
                </w:tcPr>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NO</w:t>
                  </w:r>
                  <w:r>
                    <w:rPr>
                      <w:rFonts w:hint="default" w:ascii="Times New Roman" w:hAnsi="Times New Roman" w:cs="Times New Roman"/>
                      <w:b/>
                      <w:bCs/>
                      <w:sz w:val="21"/>
                      <w:szCs w:val="21"/>
                      <w:vertAlign w:val="subscript"/>
                    </w:rPr>
                    <w:t>2</w:t>
                  </w:r>
                </w:p>
              </w:tc>
              <w:tc>
                <w:tcPr>
                  <w:tcW w:w="1303" w:type="dxa"/>
                  <w:vAlign w:val="center"/>
                </w:tcPr>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PM</w:t>
                  </w:r>
                  <w:r>
                    <w:rPr>
                      <w:rFonts w:hint="default" w:ascii="Times New Roman" w:hAnsi="Times New Roman" w:cs="Times New Roman"/>
                      <w:b/>
                      <w:bCs/>
                      <w:sz w:val="21"/>
                      <w:szCs w:val="21"/>
                      <w:vertAlign w:val="subscript"/>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2123"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日平均值</w:t>
                  </w:r>
                </w:p>
              </w:tc>
              <w:tc>
                <w:tcPr>
                  <w:tcW w:w="1467"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c>
                <w:tcPr>
                  <w:tcW w:w="1437"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0.15</w:t>
                  </w:r>
                </w:p>
              </w:tc>
              <w:tc>
                <w:tcPr>
                  <w:tcW w:w="1330"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0.08</w:t>
                  </w:r>
                </w:p>
              </w:tc>
              <w:tc>
                <w:tcPr>
                  <w:tcW w:w="1303"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2123"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小时平均值</w:t>
                  </w:r>
                </w:p>
              </w:tc>
              <w:tc>
                <w:tcPr>
                  <w:tcW w:w="1467"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c>
                <w:tcPr>
                  <w:tcW w:w="1437"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0.50</w:t>
                  </w:r>
                </w:p>
              </w:tc>
              <w:tc>
                <w:tcPr>
                  <w:tcW w:w="1330" w:type="dxa"/>
                  <w:vAlign w:val="center"/>
                </w:tcPr>
                <w:p>
                  <w:pPr>
                    <w:spacing w:line="36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0.20</w:t>
                  </w:r>
                </w:p>
              </w:tc>
              <w:tc>
                <w:tcPr>
                  <w:tcW w:w="1303" w:type="dxa"/>
                  <w:vAlign w:val="center"/>
                </w:tcPr>
                <w:p>
                  <w:pPr>
                    <w:spacing w:line="360" w:lineRule="auto"/>
                    <w:ind w:firstLine="39" w:firstLineChars="19"/>
                    <w:jc w:val="center"/>
                    <w:rPr>
                      <w:rFonts w:hint="default" w:ascii="Times New Roman" w:hAnsi="Times New Roman" w:cs="Times New Roman"/>
                      <w:bCs/>
                      <w:sz w:val="21"/>
                      <w:szCs w:val="21"/>
                    </w:rPr>
                  </w:pPr>
                  <w:r>
                    <w:rPr>
                      <w:rFonts w:hint="default" w:ascii="Times New Roman" w:hAnsi="Times New Roman" w:cs="Times New Roman"/>
                      <w:bCs/>
                      <w:sz w:val="21"/>
                      <w:szCs w:val="21"/>
                    </w:rPr>
                    <w:t>——</w:t>
                  </w:r>
                </w:p>
              </w:tc>
            </w:tr>
          </w:tbl>
          <w:p>
            <w:pPr>
              <w:spacing w:line="360" w:lineRule="auto"/>
              <w:ind w:firstLine="420" w:firstLineChars="200"/>
              <w:rPr>
                <w:rFonts w:hint="default" w:ascii="Times New Roman" w:hAnsi="Times New Roman" w:eastAsia="黑体" w:cs="Times New Roman"/>
                <w:sz w:val="21"/>
                <w:szCs w:val="21"/>
              </w:rPr>
            </w:pPr>
            <w:r>
              <w:rPr>
                <w:rFonts w:hint="default" w:ascii="Times New Roman" w:hAnsi="Times New Roman" w:eastAsia="黑体" w:cs="Times New Roman"/>
                <w:sz w:val="21"/>
                <w:szCs w:val="21"/>
              </w:rPr>
              <w:t>2、声环境质量标准</w:t>
            </w:r>
          </w:p>
          <w:p>
            <w:pPr>
              <w:spacing w:line="360" w:lineRule="auto"/>
              <w:ind w:firstLine="420" w:firstLineChars="200"/>
              <w:rPr>
                <w:rFonts w:hint="eastAsia" w:ascii="Times New Roman" w:hAnsi="Times New Roman" w:cs="Times New Roman" w:eastAsiaTheme="minorEastAsia"/>
                <w:sz w:val="21"/>
                <w:szCs w:val="21"/>
                <w:lang w:val="en-US" w:eastAsia="zh-CN"/>
              </w:rPr>
            </w:pPr>
            <w:r>
              <w:rPr>
                <w:rFonts w:hint="default" w:ascii="Times New Roman" w:hAnsi="Times New Roman" w:cs="Times New Roman"/>
                <w:sz w:val="21"/>
                <w:szCs w:val="21"/>
              </w:rPr>
              <w:t>项目区属于声环境2类功能区，环境噪声执行《声环境质量标准》（GB3096-2008）2类</w:t>
            </w:r>
            <w:r>
              <w:rPr>
                <w:rFonts w:hint="eastAsia" w:ascii="Times New Roman" w:hAnsi="Times New Roman" w:cs="Times New Roman"/>
                <w:sz w:val="21"/>
                <w:szCs w:val="21"/>
                <w:lang w:eastAsia="zh-CN"/>
              </w:rPr>
              <w:t>，标准值见表</w:t>
            </w:r>
            <w:r>
              <w:rPr>
                <w:rFonts w:hint="eastAsia" w:ascii="Times New Roman" w:hAnsi="Times New Roman" w:cs="Times New Roman"/>
                <w:sz w:val="21"/>
                <w:szCs w:val="21"/>
                <w:lang w:val="en-US" w:eastAsia="zh-CN"/>
              </w:rPr>
              <w:t>3-2。</w:t>
            </w:r>
          </w:p>
          <w:tbl>
            <w:tblPr>
              <w:tblStyle w:val="18"/>
              <w:tblW w:w="766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2904"/>
              <w:gridCol w:w="2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2123" w:type="dxa"/>
                  <w:vAlign w:val="center"/>
                </w:tcPr>
                <w:p>
                  <w:pPr>
                    <w:spacing w:line="360" w:lineRule="auto"/>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类别</w:t>
                  </w:r>
                </w:p>
              </w:tc>
              <w:tc>
                <w:tcPr>
                  <w:tcW w:w="2904" w:type="dxa"/>
                  <w:vAlign w:val="center"/>
                </w:tcPr>
                <w:p>
                  <w:pPr>
                    <w:spacing w:line="360" w:lineRule="auto"/>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昼间</w:t>
                  </w:r>
                </w:p>
              </w:tc>
              <w:tc>
                <w:tcPr>
                  <w:tcW w:w="2633" w:type="dxa"/>
                  <w:vAlign w:val="center"/>
                </w:tcPr>
                <w:p>
                  <w:pPr>
                    <w:spacing w:line="360" w:lineRule="auto"/>
                    <w:jc w:val="center"/>
                    <w:rPr>
                      <w:rFonts w:hint="eastAsia" w:ascii="Times New Roman" w:hAnsi="Times New Roman" w:cs="Times New Roman" w:eastAsiaTheme="minorEastAsia"/>
                      <w:b/>
                      <w:bCs/>
                      <w:sz w:val="21"/>
                      <w:szCs w:val="21"/>
                      <w:lang w:eastAsia="zh-CN"/>
                    </w:rPr>
                  </w:pPr>
                  <w:r>
                    <w:rPr>
                      <w:rFonts w:hint="eastAsia" w:ascii="Times New Roman" w:hAnsi="Times New Roman" w:cs="Times New Roman"/>
                      <w:b/>
                      <w:bCs/>
                      <w:sz w:val="21"/>
                      <w:szCs w:val="21"/>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2123" w:type="dxa"/>
                  <w:vAlign w:val="center"/>
                </w:tcPr>
                <w:p>
                  <w:pPr>
                    <w:spacing w:line="360" w:lineRule="auto"/>
                    <w:jc w:val="center"/>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bCs/>
                      <w:sz w:val="21"/>
                      <w:szCs w:val="21"/>
                      <w:lang w:val="en-US" w:eastAsia="zh-CN"/>
                    </w:rPr>
                    <w:t>2</w:t>
                  </w:r>
                </w:p>
              </w:tc>
              <w:tc>
                <w:tcPr>
                  <w:tcW w:w="2904" w:type="dxa"/>
                  <w:vAlign w:val="center"/>
                </w:tcPr>
                <w:p>
                  <w:pPr>
                    <w:spacing w:line="360" w:lineRule="auto"/>
                    <w:jc w:val="center"/>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bCs/>
                      <w:sz w:val="21"/>
                      <w:szCs w:val="21"/>
                      <w:lang w:val="en-US" w:eastAsia="zh-CN"/>
                    </w:rPr>
                    <w:t>60</w:t>
                  </w:r>
                </w:p>
              </w:tc>
              <w:tc>
                <w:tcPr>
                  <w:tcW w:w="2633" w:type="dxa"/>
                  <w:vAlign w:val="center"/>
                </w:tcPr>
                <w:p>
                  <w:pPr>
                    <w:spacing w:line="360" w:lineRule="auto"/>
                    <w:jc w:val="center"/>
                    <w:rPr>
                      <w:rFonts w:hint="eastAsia" w:ascii="Times New Roman" w:hAnsi="Times New Roman" w:cs="Times New Roman" w:eastAsiaTheme="minorEastAsia"/>
                      <w:bCs/>
                      <w:sz w:val="21"/>
                      <w:szCs w:val="21"/>
                      <w:lang w:val="en-US" w:eastAsia="zh-CN"/>
                    </w:rPr>
                  </w:pPr>
                  <w:r>
                    <w:rPr>
                      <w:rFonts w:hint="eastAsia" w:ascii="Times New Roman" w:hAnsi="Times New Roman" w:cs="Times New Roman"/>
                      <w:bCs/>
                      <w:sz w:val="21"/>
                      <w:szCs w:val="21"/>
                      <w:lang w:val="en-US" w:eastAsia="zh-CN"/>
                    </w:rPr>
                    <w:t>50</w:t>
                  </w:r>
                </w:p>
              </w:tc>
            </w:tr>
          </w:tbl>
          <w:p>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eastAsia="黑体" w:cs="Times New Roman"/>
                <w:sz w:val="21"/>
                <w:szCs w:val="21"/>
                <w:lang w:val="en-US" w:eastAsia="zh-CN"/>
              </w:rPr>
              <w:t>、</w:t>
            </w:r>
            <w:r>
              <w:rPr>
                <w:rFonts w:hint="default" w:ascii="Times New Roman" w:hAnsi="Times New Roman" w:eastAsia="黑体" w:cs="Times New Roman"/>
                <w:sz w:val="21"/>
                <w:szCs w:val="21"/>
              </w:rPr>
              <w:t>地表水环境质量</w:t>
            </w:r>
            <w:r>
              <w:rPr>
                <w:rFonts w:hint="default" w:ascii="Times New Roman" w:hAnsi="Times New Roman" w:cs="Times New Roman"/>
                <w:sz w:val="21"/>
                <w:szCs w:val="21"/>
              </w:rPr>
              <w:t>执行国家《地表水环境质量标准》GB3838-2002中Ⅲ类水域标准。标准值见表</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所示：</w:t>
            </w:r>
          </w:p>
          <w:p>
            <w:pPr>
              <w:wordWrap w:val="0"/>
              <w:spacing w:line="240" w:lineRule="auto"/>
              <w:jc w:val="center"/>
              <w:rPr>
                <w:rFonts w:hint="default" w:ascii="Times New Roman" w:hAnsi="Times New Roman" w:cs="Times New Roman"/>
                <w:sz w:val="21"/>
                <w:szCs w:val="21"/>
              </w:rPr>
            </w:pPr>
            <w:r>
              <w:rPr>
                <w:rFonts w:hint="default" w:ascii="Times New Roman" w:hAnsi="Times New Roman" w:cs="Times New Roman"/>
                <w:b/>
                <w:color w:val="000000"/>
                <w:sz w:val="21"/>
                <w:szCs w:val="21"/>
                <w:lang w:val="en-US" w:eastAsia="zh-CN"/>
              </w:rPr>
              <w:t xml:space="preserve">           </w:t>
            </w: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3</w:t>
            </w:r>
            <w:r>
              <w:rPr>
                <w:rFonts w:hint="default" w:ascii="Times New Roman" w:hAnsi="Times New Roman" w:eastAsia="黑体" w:cs="Times New Roman"/>
                <w:sz w:val="21"/>
                <w:szCs w:val="21"/>
              </w:rPr>
              <w:t>-</w:t>
            </w:r>
            <w:r>
              <w:rPr>
                <w:rFonts w:hint="eastAsia" w:ascii="Times New Roman" w:hAnsi="Times New Roman" w:eastAsia="黑体" w:cs="Times New Roman"/>
                <w:sz w:val="21"/>
                <w:szCs w:val="21"/>
                <w:lang w:val="en-US" w:eastAsia="zh-CN"/>
              </w:rPr>
              <w:t>3</w:t>
            </w:r>
            <w:r>
              <w:rPr>
                <w:rFonts w:hint="default" w:ascii="Times New Roman" w:hAnsi="Times New Roman" w:eastAsia="黑体" w:cs="Times New Roman"/>
                <w:sz w:val="21"/>
                <w:szCs w:val="21"/>
              </w:rPr>
              <w:t xml:space="preserve">  地表水环境质量标准值表   </w:t>
            </w:r>
            <w:r>
              <w:rPr>
                <w:rFonts w:hint="default" w:ascii="Times New Roman" w:hAnsi="Times New Roman" w:cs="Times New Roman"/>
                <w:b/>
                <w:color w:val="000000"/>
                <w:sz w:val="21"/>
                <w:szCs w:val="21"/>
              </w:rPr>
              <w:t xml:space="preserve">    </w:t>
            </w:r>
            <w:r>
              <w:rPr>
                <w:rFonts w:hint="eastAsia" w:ascii="Times New Roman" w:hAnsi="Times New Roman" w:cs="Times New Roman"/>
                <w:b/>
                <w:color w:val="000000"/>
                <w:sz w:val="21"/>
                <w:szCs w:val="21"/>
                <w:lang w:val="en-US" w:eastAsia="zh-CN"/>
              </w:rPr>
              <w:t xml:space="preserve"> </w:t>
            </w:r>
            <w:r>
              <w:rPr>
                <w:rFonts w:hint="default" w:ascii="Times New Roman" w:hAnsi="Times New Roman" w:cs="Times New Roman"/>
                <w:b/>
                <w:color w:val="000000"/>
                <w:sz w:val="21"/>
                <w:szCs w:val="21"/>
              </w:rPr>
              <w:t xml:space="preserve"> </w:t>
            </w:r>
            <w:r>
              <w:rPr>
                <w:rFonts w:hint="default" w:ascii="Times New Roman" w:hAnsi="Times New Roman" w:eastAsia="黑体" w:cs="Times New Roman"/>
                <w:sz w:val="21"/>
                <w:szCs w:val="21"/>
              </w:rPr>
              <w:t xml:space="preserve">单位：mg/L </w:t>
            </w:r>
          </w:p>
          <w:tbl>
            <w:tblPr>
              <w:tblStyle w:val="18"/>
              <w:tblW w:w="7600" w:type="dxa"/>
              <w:jc w:val="center"/>
              <w:tblInd w:w="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3"/>
              <w:gridCol w:w="1066"/>
              <w:gridCol w:w="800"/>
              <w:gridCol w:w="704"/>
              <w:gridCol w:w="893"/>
              <w:gridCol w:w="871"/>
              <w:gridCol w:w="1282"/>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32" w:hRule="atLeast"/>
                <w:jc w:val="center"/>
              </w:trPr>
              <w:tc>
                <w:tcPr>
                  <w:tcW w:w="933"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066"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800"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COD</w:t>
                  </w:r>
                  <w:r>
                    <w:rPr>
                      <w:rFonts w:hint="default" w:ascii="Times New Roman" w:hAnsi="Times New Roman" w:cs="Times New Roman"/>
                      <w:sz w:val="21"/>
                      <w:szCs w:val="21"/>
                      <w:vertAlign w:val="subscript"/>
                    </w:rPr>
                    <w:t>Cr</w:t>
                  </w:r>
                </w:p>
              </w:tc>
              <w:tc>
                <w:tcPr>
                  <w:tcW w:w="704"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893"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tc>
              <w:tc>
                <w:tcPr>
                  <w:tcW w:w="871"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1282"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阴离子表面活性剂</w:t>
                  </w:r>
                </w:p>
              </w:tc>
              <w:tc>
                <w:tcPr>
                  <w:tcW w:w="1051"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粪大肠</w:t>
                  </w:r>
                </w:p>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菌群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jc w:val="center"/>
              </w:trPr>
              <w:tc>
                <w:tcPr>
                  <w:tcW w:w="933"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1066"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800"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704"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893"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871"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≤0.05</w:t>
                  </w:r>
                </w:p>
              </w:tc>
              <w:tc>
                <w:tcPr>
                  <w:tcW w:w="1282"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≤0.2</w:t>
                  </w:r>
                </w:p>
              </w:tc>
              <w:tc>
                <w:tcPr>
                  <w:tcW w:w="1051" w:type="dxa"/>
                  <w:tcBorders>
                    <w:tl2br w:val="nil"/>
                    <w:tr2bl w:val="nil"/>
                  </w:tcBorders>
                  <w:vAlign w:val="center"/>
                </w:tcPr>
                <w:p>
                  <w:pPr>
                    <w:ind w:left="-72" w:leftChars="-30" w:right="-72" w:rightChars="-30"/>
                    <w:jc w:val="center"/>
                    <w:rPr>
                      <w:rFonts w:hint="default" w:ascii="Times New Roman" w:hAnsi="Times New Roman" w:cs="Times New Roman"/>
                      <w:sz w:val="21"/>
                      <w:szCs w:val="21"/>
                    </w:rPr>
                  </w:pPr>
                  <w:r>
                    <w:rPr>
                      <w:rFonts w:hint="default" w:ascii="Times New Roman" w:hAnsi="Times New Roman" w:cs="Times New Roman"/>
                      <w:sz w:val="21"/>
                      <w:szCs w:val="21"/>
                    </w:rPr>
                    <w:t>≤10000</w:t>
                  </w:r>
                </w:p>
              </w:tc>
            </w:tr>
          </w:tbl>
          <w:p>
            <w:pPr>
              <w:spacing w:line="360" w:lineRule="auto"/>
              <w:jc w:val="center"/>
              <w:rPr>
                <w:rFonts w:hint="default" w:ascii="Times New Roman" w:hAnsi="Times New Roman" w:eastAsia="宋体" w:cs="Times New Roman"/>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 w:type="dxa"/>
            <w:vAlign w:val="center"/>
          </w:tcPr>
          <w:p>
            <w:pPr>
              <w:spacing w:line="360" w:lineRule="auto"/>
              <w:jc w:val="center"/>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污染物排放标准</w:t>
            </w:r>
          </w:p>
        </w:tc>
        <w:tc>
          <w:tcPr>
            <w:tcW w:w="7763" w:type="dxa"/>
          </w:tcPr>
          <w:p>
            <w:pPr>
              <w:spacing w:line="360" w:lineRule="auto"/>
              <w:ind w:firstLine="420" w:firstLineChars="200"/>
              <w:rPr>
                <w:rFonts w:hint="default" w:ascii="Times New Roman" w:hAnsi="Times New Roman" w:cs="Times New Roman"/>
                <w:sz w:val="21"/>
                <w:szCs w:val="21"/>
              </w:rPr>
            </w:pPr>
          </w:p>
          <w:p>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废气：本项目大气执行《大气污染物综合排放标准》(GB16297-1996)二级标准中无组织排放监控浓度限值，见表</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所示。</w:t>
            </w:r>
          </w:p>
          <w:p>
            <w:pPr>
              <w:adjustRightInd w:val="0"/>
              <w:snapToGrid w:val="0"/>
              <w:spacing w:before="156" w:beforeLines="50"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 xml:space="preserve">          </w:t>
            </w: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3</w:t>
            </w:r>
            <w:r>
              <w:rPr>
                <w:rFonts w:hint="default" w:ascii="Times New Roman" w:hAnsi="Times New Roman" w:eastAsia="黑体" w:cs="Times New Roman"/>
                <w:sz w:val="21"/>
                <w:szCs w:val="21"/>
              </w:rPr>
              <w:t>-</w:t>
            </w:r>
            <w:r>
              <w:rPr>
                <w:rFonts w:hint="default" w:ascii="Times New Roman" w:hAnsi="Times New Roman" w:eastAsia="黑体" w:cs="Times New Roman"/>
                <w:sz w:val="21"/>
                <w:szCs w:val="21"/>
                <w:lang w:val="en-US" w:eastAsia="zh-CN"/>
              </w:rPr>
              <w:t xml:space="preserve">3 </w:t>
            </w:r>
            <w:r>
              <w:rPr>
                <w:rFonts w:hint="default" w:ascii="Times New Roman" w:hAnsi="Times New Roman" w:eastAsia="黑体" w:cs="Times New Roman"/>
                <w:sz w:val="21"/>
                <w:szCs w:val="21"/>
              </w:rPr>
              <w:t xml:space="preserve"> 大气污染物综合排放标准   </w:t>
            </w:r>
            <w:r>
              <w:rPr>
                <w:rFonts w:hint="eastAsia"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rPr>
              <w:t xml:space="preserve">  单位：mg/m3</w:t>
            </w:r>
          </w:p>
          <w:tbl>
            <w:tblPr>
              <w:tblStyle w:val="18"/>
              <w:tblW w:w="7640" w:type="dxa"/>
              <w:jc w:val="center"/>
              <w:tblInd w:w="8"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301"/>
              <w:gridCol w:w="1711"/>
              <w:gridCol w:w="1714"/>
              <w:gridCol w:w="191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2" w:hRule="atLeast"/>
                <w:jc w:val="center"/>
              </w:trPr>
              <w:tc>
                <w:tcPr>
                  <w:tcW w:w="2301" w:type="dxa"/>
                  <w:tcBorders>
                    <w:tl2br w:val="nil"/>
                    <w:tr2bl w:val="nil"/>
                  </w:tcBorders>
                  <w:vAlign w:val="center"/>
                </w:tcPr>
                <w:p>
                  <w:pPr>
                    <w:ind w:right="119"/>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w:t>
                  </w:r>
                </w:p>
              </w:tc>
              <w:tc>
                <w:tcPr>
                  <w:tcW w:w="1711" w:type="dxa"/>
                  <w:tcBorders>
                    <w:tl2br w:val="nil"/>
                    <w:tr2bl w:val="nil"/>
                  </w:tcBorders>
                  <w:vAlign w:val="center"/>
                </w:tcPr>
                <w:p>
                  <w:pPr>
                    <w:ind w:right="119"/>
                    <w:jc w:val="center"/>
                    <w:rPr>
                      <w:rFonts w:hint="default" w:ascii="Times New Roman" w:hAnsi="Times New Roman" w:cs="Times New Roman"/>
                      <w:color w:val="000000"/>
                      <w:sz w:val="21"/>
                      <w:szCs w:val="21"/>
                      <w:vertAlign w:val="subscript"/>
                    </w:rPr>
                  </w:pPr>
                  <w:r>
                    <w:rPr>
                      <w:rFonts w:hint="default" w:ascii="Times New Roman" w:hAnsi="Times New Roman" w:cs="Times New Roman"/>
                      <w:color w:val="000000"/>
                      <w:sz w:val="21"/>
                      <w:szCs w:val="21"/>
                    </w:rPr>
                    <w:t>颗粒物</w:t>
                  </w:r>
                </w:p>
              </w:tc>
              <w:tc>
                <w:tcPr>
                  <w:tcW w:w="1714" w:type="dxa"/>
                  <w:tcBorders>
                    <w:tl2br w:val="nil"/>
                    <w:tr2bl w:val="nil"/>
                  </w:tcBorders>
                  <w:vAlign w:val="center"/>
                </w:tcPr>
                <w:p>
                  <w:pPr>
                    <w:ind w:right="119"/>
                    <w:jc w:val="center"/>
                    <w:rPr>
                      <w:rFonts w:hint="default" w:ascii="Times New Roman" w:hAnsi="Times New Roman" w:cs="Times New Roman"/>
                      <w:color w:val="000000"/>
                      <w:sz w:val="21"/>
                      <w:szCs w:val="21"/>
                      <w:vertAlign w:val="subscript"/>
                    </w:rPr>
                  </w:pPr>
                  <w:r>
                    <w:rPr>
                      <w:rFonts w:hint="default" w:ascii="Times New Roman" w:hAnsi="Times New Roman" w:cs="Times New Roman"/>
                      <w:color w:val="000000"/>
                      <w:sz w:val="21"/>
                      <w:szCs w:val="21"/>
                    </w:rPr>
                    <w:t>SO</w:t>
                  </w:r>
                  <w:r>
                    <w:rPr>
                      <w:rFonts w:hint="default" w:ascii="Times New Roman" w:hAnsi="Times New Roman" w:cs="Times New Roman"/>
                      <w:color w:val="000000"/>
                      <w:sz w:val="21"/>
                      <w:szCs w:val="21"/>
                      <w:vertAlign w:val="subscript"/>
                    </w:rPr>
                    <w:t>2</w:t>
                  </w:r>
                </w:p>
              </w:tc>
              <w:tc>
                <w:tcPr>
                  <w:tcW w:w="1914" w:type="dxa"/>
                  <w:tcBorders>
                    <w:tl2br w:val="nil"/>
                    <w:tr2bl w:val="nil"/>
                  </w:tcBorders>
                  <w:vAlign w:val="center"/>
                </w:tcPr>
                <w:p>
                  <w:pPr>
                    <w:ind w:right="119"/>
                    <w:jc w:val="center"/>
                    <w:rPr>
                      <w:rFonts w:hint="default" w:ascii="Times New Roman" w:hAnsi="Times New Roman" w:cs="Times New Roman"/>
                      <w:color w:val="000000"/>
                      <w:sz w:val="21"/>
                      <w:szCs w:val="21"/>
                      <w:vertAlign w:val="subscript"/>
                    </w:rPr>
                  </w:pPr>
                  <w:r>
                    <w:rPr>
                      <w:rFonts w:hint="default" w:ascii="Times New Roman" w:hAnsi="Times New Roman" w:cs="Times New Roman"/>
                      <w:color w:val="000000"/>
                      <w:sz w:val="21"/>
                      <w:szCs w:val="21"/>
                    </w:rPr>
                    <w:t>NO</w:t>
                  </w:r>
                  <w:r>
                    <w:rPr>
                      <w:rFonts w:hint="default" w:ascii="Times New Roman" w:hAnsi="Times New Roman" w:cs="Times New Roman"/>
                      <w:color w:val="000000"/>
                      <w:sz w:val="21"/>
                      <w:szCs w:val="21"/>
                      <w:vertAlign w:val="subscript"/>
                    </w:rPr>
                    <w:t>X</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2301" w:type="dxa"/>
                  <w:tcBorders>
                    <w:tl2br w:val="nil"/>
                    <w:tr2bl w:val="nil"/>
                  </w:tcBorders>
                  <w:vAlign w:val="center"/>
                </w:tcPr>
                <w:p>
                  <w:pPr>
                    <w:ind w:right="119"/>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执行标准</w:t>
                  </w:r>
                </w:p>
              </w:tc>
              <w:tc>
                <w:tcPr>
                  <w:tcW w:w="1711" w:type="dxa"/>
                  <w:tcBorders>
                    <w:tl2br w:val="nil"/>
                    <w:tr2bl w:val="nil"/>
                  </w:tcBorders>
                  <w:vAlign w:val="center"/>
                </w:tcPr>
                <w:p>
                  <w:pPr>
                    <w:ind w:right="119"/>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714" w:type="dxa"/>
                  <w:tcBorders>
                    <w:tl2br w:val="nil"/>
                    <w:tr2bl w:val="nil"/>
                  </w:tcBorders>
                  <w:vAlign w:val="center"/>
                </w:tcPr>
                <w:p>
                  <w:pPr>
                    <w:ind w:right="119"/>
                    <w:jc w:val="center"/>
                    <w:rPr>
                      <w:rFonts w:hint="default" w:ascii="Times New Roman" w:hAnsi="Times New Roman" w:cs="Times New Roman"/>
                      <w:color w:val="000000"/>
                      <w:sz w:val="21"/>
                      <w:szCs w:val="21"/>
                      <w:vertAlign w:val="superscript"/>
                    </w:rPr>
                  </w:pPr>
                  <w:r>
                    <w:rPr>
                      <w:rFonts w:hint="default" w:ascii="Times New Roman" w:hAnsi="Times New Roman" w:cs="Times New Roman"/>
                      <w:color w:val="000000"/>
                      <w:sz w:val="21"/>
                      <w:szCs w:val="21"/>
                    </w:rPr>
                    <w:t>0.4</w:t>
                  </w:r>
                </w:p>
              </w:tc>
              <w:tc>
                <w:tcPr>
                  <w:tcW w:w="1914" w:type="dxa"/>
                  <w:tcBorders>
                    <w:tl2br w:val="nil"/>
                    <w:tr2bl w:val="nil"/>
                  </w:tcBorders>
                  <w:vAlign w:val="center"/>
                </w:tcPr>
                <w:p>
                  <w:pPr>
                    <w:ind w:right="119"/>
                    <w:jc w:val="center"/>
                    <w:rPr>
                      <w:rFonts w:hint="default" w:ascii="Times New Roman" w:hAnsi="Times New Roman" w:cs="Times New Roman"/>
                      <w:color w:val="000000"/>
                      <w:sz w:val="21"/>
                      <w:szCs w:val="21"/>
                      <w:vertAlign w:val="superscript"/>
                    </w:rPr>
                  </w:pPr>
                  <w:r>
                    <w:rPr>
                      <w:rFonts w:hint="default" w:ascii="Times New Roman" w:hAnsi="Times New Roman" w:cs="Times New Roman"/>
                      <w:color w:val="000000"/>
                      <w:sz w:val="21"/>
                      <w:szCs w:val="21"/>
                    </w:rPr>
                    <w:t>0.12</w:t>
                  </w:r>
                </w:p>
              </w:tc>
            </w:tr>
          </w:tbl>
          <w:p>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废水：排水执行《污水综合排放标准》（GB18978-1996）中的三级排放标准，标准值见表</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所示。</w:t>
            </w:r>
          </w:p>
          <w:p>
            <w:pPr>
              <w:adjustRightInd w:val="0"/>
              <w:snapToGrid w:val="0"/>
              <w:spacing w:before="156" w:beforeLines="50" w:line="240" w:lineRule="auto"/>
              <w:jc w:val="center"/>
              <w:rPr>
                <w:rFonts w:hint="default" w:ascii="Times New Roman" w:hAnsi="Times New Roman" w:cs="Times New Roman"/>
                <w:b/>
                <w:bCs/>
                <w:color w:val="000000"/>
                <w:sz w:val="21"/>
                <w:szCs w:val="21"/>
              </w:rPr>
            </w:pPr>
            <w:r>
              <w:rPr>
                <w:rFonts w:hint="default"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rPr>
              <w:t>表</w:t>
            </w:r>
            <w:r>
              <w:rPr>
                <w:rFonts w:hint="default" w:ascii="Times New Roman" w:hAnsi="Times New Roman" w:eastAsia="黑体" w:cs="Times New Roman"/>
                <w:sz w:val="21"/>
                <w:szCs w:val="21"/>
                <w:lang w:val="en-US" w:eastAsia="zh-CN"/>
              </w:rPr>
              <w:t>3</w:t>
            </w:r>
            <w:r>
              <w:rPr>
                <w:rFonts w:hint="default" w:ascii="Times New Roman" w:hAnsi="Times New Roman" w:eastAsia="黑体" w:cs="Times New Roman"/>
                <w:sz w:val="21"/>
                <w:szCs w:val="21"/>
              </w:rPr>
              <w:t>-</w:t>
            </w:r>
            <w:r>
              <w:rPr>
                <w:rFonts w:hint="default" w:ascii="Times New Roman" w:hAnsi="Times New Roman" w:eastAsia="黑体" w:cs="Times New Roman"/>
                <w:sz w:val="21"/>
                <w:szCs w:val="21"/>
                <w:lang w:val="en-US" w:eastAsia="zh-CN"/>
              </w:rPr>
              <w:t>4</w:t>
            </w:r>
            <w:r>
              <w:rPr>
                <w:rFonts w:hint="default" w:ascii="Times New Roman" w:hAnsi="Times New Roman" w:eastAsia="黑体" w:cs="Times New Roman"/>
                <w:sz w:val="21"/>
                <w:szCs w:val="21"/>
              </w:rPr>
              <w:t xml:space="preserve">  废水排放执行标准限值        单位：mg/L</w:t>
            </w:r>
          </w:p>
          <w:tbl>
            <w:tblPr>
              <w:tblStyle w:val="18"/>
              <w:tblW w:w="6998"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128"/>
              <w:gridCol w:w="1200"/>
              <w:gridCol w:w="1125"/>
              <w:gridCol w:w="1140"/>
              <w:gridCol w:w="1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265"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污染物</w:t>
                  </w:r>
                </w:p>
              </w:tc>
              <w:tc>
                <w:tcPr>
                  <w:tcW w:w="1128"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COD</w:t>
                  </w:r>
                  <w:r>
                    <w:rPr>
                      <w:rFonts w:hint="default" w:ascii="Times New Roman" w:hAnsi="Times New Roman" w:cs="Times New Roman"/>
                      <w:color w:val="000000"/>
                      <w:sz w:val="21"/>
                      <w:szCs w:val="21"/>
                      <w:vertAlign w:val="subscript"/>
                    </w:rPr>
                    <w:t>Cr</w:t>
                  </w:r>
                </w:p>
              </w:tc>
              <w:tc>
                <w:tcPr>
                  <w:tcW w:w="1200"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1125"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1140" w:type="dxa"/>
                  <w:tcBorders>
                    <w:tl2br w:val="nil"/>
                    <w:tr2bl w:val="nil"/>
                  </w:tcBorders>
                  <w:vAlign w:val="center"/>
                </w:tcPr>
                <w:p>
                  <w:pPr>
                    <w:spacing w:line="360" w:lineRule="auto"/>
                    <w:jc w:val="center"/>
                    <w:rPr>
                      <w:sz w:val="21"/>
                      <w:szCs w:val="21"/>
                    </w:rPr>
                  </w:pPr>
                  <w:r>
                    <w:rPr>
                      <w:rFonts w:hint="default" w:ascii="Times New Roman" w:hAnsi="Times New Roman" w:cs="Times New Roman"/>
                      <w:color w:val="000000"/>
                      <w:sz w:val="21"/>
                      <w:szCs w:val="21"/>
                    </w:rPr>
                    <w:t>SS</w:t>
                  </w:r>
                </w:p>
              </w:tc>
              <w:tc>
                <w:tcPr>
                  <w:tcW w:w="1140" w:type="dxa"/>
                  <w:tcBorders>
                    <w:tl2br w:val="nil"/>
                    <w:tr2bl w:val="nil"/>
                  </w:tcBorders>
                  <w:vAlign w:val="center"/>
                </w:tcPr>
                <w:p>
                  <w:pPr>
                    <w:spacing w:line="360" w:lineRule="auto"/>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eastAsia="zh-CN"/>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265"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执行标准</w:t>
                  </w:r>
                </w:p>
              </w:tc>
              <w:tc>
                <w:tcPr>
                  <w:tcW w:w="1128"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500</w:t>
                  </w:r>
                </w:p>
              </w:tc>
              <w:tc>
                <w:tcPr>
                  <w:tcW w:w="1200" w:type="dxa"/>
                  <w:tcBorders>
                    <w:tl2br w:val="nil"/>
                    <w:tr2bl w:val="nil"/>
                  </w:tcBorders>
                  <w:vAlign w:val="center"/>
                </w:tcPr>
                <w:p>
                  <w:pPr>
                    <w:spacing w:line="36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300</w:t>
                  </w:r>
                </w:p>
              </w:tc>
              <w:tc>
                <w:tcPr>
                  <w:tcW w:w="1125" w:type="dxa"/>
                  <w:tcBorders>
                    <w:tl2br w:val="nil"/>
                    <w:tr2bl w:val="nil"/>
                  </w:tcBorders>
                  <w:vAlign w:val="center"/>
                </w:tcPr>
                <w:p>
                  <w:pPr>
                    <w:spacing w:line="360" w:lineRule="auto"/>
                    <w:jc w:val="center"/>
                    <w:rPr>
                      <w:rFonts w:hint="default"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w:t>
                  </w:r>
                </w:p>
              </w:tc>
              <w:tc>
                <w:tcPr>
                  <w:tcW w:w="1140" w:type="dxa"/>
                  <w:tcBorders>
                    <w:tl2br w:val="nil"/>
                    <w:tr2bl w:val="nil"/>
                  </w:tcBorders>
                  <w:vAlign w:val="center"/>
                </w:tcPr>
                <w:p>
                  <w:pPr>
                    <w:spacing w:line="360" w:lineRule="auto"/>
                    <w:jc w:val="center"/>
                    <w:rPr>
                      <w:sz w:val="21"/>
                      <w:szCs w:val="21"/>
                    </w:rPr>
                  </w:pPr>
                  <w:r>
                    <w:rPr>
                      <w:rFonts w:hint="default" w:ascii="Times New Roman" w:hAnsi="Times New Roman" w:cs="Times New Roman"/>
                      <w:color w:val="000000"/>
                      <w:sz w:val="21"/>
                      <w:szCs w:val="21"/>
                    </w:rPr>
                    <w:t>400</w:t>
                  </w:r>
                </w:p>
              </w:tc>
              <w:tc>
                <w:tcPr>
                  <w:tcW w:w="1140" w:type="dxa"/>
                  <w:tcBorders>
                    <w:tl2br w:val="nil"/>
                    <w:tr2bl w:val="nil"/>
                  </w:tcBorders>
                  <w:vAlign w:val="center"/>
                </w:tcPr>
                <w:p>
                  <w:pPr>
                    <w:spacing w:line="360" w:lineRule="auto"/>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val="en-US" w:eastAsia="zh-CN"/>
                    </w:rPr>
                    <w:t xml:space="preserve">20                    </w:t>
                  </w:r>
                </w:p>
              </w:tc>
            </w:tr>
          </w:tbl>
          <w:p>
            <w:pPr>
              <w:numPr>
                <w:ilvl w:val="0"/>
                <w:numId w:val="0"/>
              </w:numPr>
              <w:spacing w:line="360" w:lineRule="auto"/>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val="en-US" w:eastAsia="zh-CN"/>
              </w:rPr>
              <w:t xml:space="preserve">    3</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噪声：施工期噪声执行《建筑施工场界</w:t>
            </w:r>
            <w:r>
              <w:rPr>
                <w:rFonts w:hint="default" w:ascii="Times New Roman" w:hAnsi="Times New Roman" w:cs="Times New Roman"/>
                <w:color w:val="000000"/>
                <w:sz w:val="21"/>
                <w:szCs w:val="21"/>
                <w:lang w:eastAsia="zh-CN"/>
              </w:rPr>
              <w:t>环境</w:t>
            </w:r>
            <w:r>
              <w:rPr>
                <w:rFonts w:hint="default" w:ascii="Times New Roman" w:hAnsi="Times New Roman" w:cs="Times New Roman"/>
                <w:color w:val="000000"/>
                <w:sz w:val="21"/>
                <w:szCs w:val="21"/>
              </w:rPr>
              <w:t>噪声</w:t>
            </w:r>
            <w:r>
              <w:rPr>
                <w:rFonts w:hint="default" w:ascii="Times New Roman" w:hAnsi="Times New Roman" w:cs="Times New Roman"/>
                <w:color w:val="000000"/>
                <w:sz w:val="21"/>
                <w:szCs w:val="21"/>
                <w:lang w:eastAsia="zh-CN"/>
              </w:rPr>
              <w:t>排放标准</w:t>
            </w:r>
            <w:r>
              <w:rPr>
                <w:rFonts w:hint="default" w:ascii="Times New Roman" w:hAnsi="Times New Roman" w:cs="Times New Roman"/>
                <w:color w:val="000000"/>
                <w:sz w:val="21"/>
                <w:szCs w:val="21"/>
              </w:rPr>
              <w:t>》（GB12523-</w:t>
            </w:r>
            <w:r>
              <w:rPr>
                <w:rFonts w:hint="default" w:ascii="Times New Roman" w:hAnsi="Times New Roman" w:cs="Times New Roman"/>
                <w:color w:val="000000"/>
                <w:sz w:val="21"/>
                <w:szCs w:val="21"/>
                <w:lang w:val="en-US" w:eastAsia="zh-CN"/>
              </w:rPr>
              <w:t>2011</w:t>
            </w:r>
            <w:r>
              <w:rPr>
                <w:rFonts w:hint="default" w:ascii="Times New Roman" w:hAnsi="Times New Roman" w:cs="Times New Roman"/>
                <w:color w:val="000000"/>
                <w:sz w:val="21"/>
                <w:szCs w:val="21"/>
              </w:rPr>
              <w:t>），标准噪声限值如表</w:t>
            </w:r>
            <w:r>
              <w:rPr>
                <w:rFonts w:hint="default"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lang w:val="en-US" w:eastAsia="zh-CN"/>
              </w:rPr>
              <w:t>5</w:t>
            </w:r>
            <w:r>
              <w:rPr>
                <w:rFonts w:hint="default" w:ascii="Times New Roman" w:hAnsi="Times New Roman" w:cs="Times New Roman"/>
                <w:color w:val="000000"/>
                <w:sz w:val="21"/>
                <w:szCs w:val="21"/>
              </w:rPr>
              <w:t>所示</w:t>
            </w:r>
            <w:r>
              <w:rPr>
                <w:rFonts w:hint="default" w:ascii="Times New Roman" w:hAnsi="Times New Roman" w:cs="Times New Roman"/>
                <w:color w:val="000000"/>
                <w:sz w:val="21"/>
                <w:szCs w:val="21"/>
                <w:lang w:eastAsia="zh-CN"/>
              </w:rPr>
              <w:t>：</w:t>
            </w:r>
          </w:p>
          <w:p>
            <w:pPr>
              <w:spacing w:line="400" w:lineRule="exact"/>
              <w:ind w:left="0" w:leftChars="0" w:right="0" w:rightChars="0"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b/>
                <w:color w:val="000000"/>
                <w:sz w:val="21"/>
                <w:szCs w:val="21"/>
                <w:lang w:val="en-US" w:eastAsia="zh-CN"/>
              </w:rPr>
              <w:t xml:space="preserve">    </w:t>
            </w:r>
            <w:r>
              <w:rPr>
                <w:rFonts w:hint="default" w:ascii="Times New Roman" w:hAnsi="Times New Roman" w:eastAsia="黑体" w:cs="Times New Roman"/>
                <w:sz w:val="21"/>
                <w:szCs w:val="21"/>
                <w:lang w:val="en-US" w:eastAsia="zh-CN"/>
              </w:rPr>
              <w:t>表3-5  建筑施工场界环境噪声排放限值     单位：dB(A)</w:t>
            </w:r>
          </w:p>
          <w:tbl>
            <w:tblPr>
              <w:tblStyle w:val="18"/>
              <w:tblW w:w="7200" w:type="dxa"/>
              <w:tblInd w:w="34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3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3600" w:type="dxa"/>
                  <w:tcBorders>
                    <w:tl2br w:val="nil"/>
                    <w:tr2bl w:val="nil"/>
                  </w:tcBorders>
                  <w:vAlign w:val="top"/>
                </w:tcPr>
                <w:p>
                  <w:pPr>
                    <w:spacing w:line="400" w:lineRule="exact"/>
                    <w:ind w:left="0" w:leftChars="0" w:right="0" w:rightChars="0" w:firstLine="0" w:firstLineChars="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昼间</w:t>
                  </w:r>
                </w:p>
              </w:tc>
              <w:tc>
                <w:tcPr>
                  <w:tcW w:w="3600" w:type="dxa"/>
                  <w:tcBorders>
                    <w:tl2br w:val="nil"/>
                    <w:tr2bl w:val="nil"/>
                  </w:tcBorders>
                  <w:vAlign w:val="top"/>
                </w:tcPr>
                <w:p>
                  <w:pPr>
                    <w:spacing w:line="400" w:lineRule="exact"/>
                    <w:ind w:left="0" w:leftChars="0" w:right="0" w:rightChars="0" w:firstLine="0" w:firstLineChars="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3600" w:type="dxa"/>
                  <w:tcBorders>
                    <w:tl2br w:val="nil"/>
                    <w:tr2bl w:val="nil"/>
                  </w:tcBorders>
                  <w:vAlign w:val="top"/>
                </w:tcPr>
                <w:p>
                  <w:pPr>
                    <w:spacing w:line="40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3600" w:type="dxa"/>
                  <w:tcBorders>
                    <w:tl2br w:val="nil"/>
                    <w:tr2bl w:val="nil"/>
                  </w:tcBorders>
                  <w:vAlign w:val="top"/>
                </w:tcPr>
                <w:p>
                  <w:pPr>
                    <w:spacing w:line="400" w:lineRule="exact"/>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w:t>
                  </w:r>
                </w:p>
              </w:tc>
            </w:tr>
          </w:tbl>
          <w:p>
            <w:pPr>
              <w:numPr>
                <w:ilvl w:val="0"/>
                <w:numId w:val="0"/>
              </w:numPr>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营运期执行《社会生活环境噪声排放标准》（GB22337-2008）2类区标准</w:t>
            </w:r>
            <w:r>
              <w:rPr>
                <w:rFonts w:hint="eastAsia" w:ascii="Times New Roman" w:hAnsi="Times New Roman" w:cs="Times New Roman"/>
                <w:color w:val="000000"/>
                <w:sz w:val="21"/>
                <w:szCs w:val="21"/>
                <w:lang w:eastAsia="zh-CN"/>
              </w:rPr>
              <w:t>：</w:t>
            </w:r>
          </w:p>
          <w:p>
            <w:pPr>
              <w:wordWrap w:val="0"/>
              <w:spacing w:line="240" w:lineRule="auto"/>
              <w:ind w:right="480"/>
              <w:jc w:val="center"/>
              <w:rPr>
                <w:rFonts w:hint="default" w:ascii="Times New Roman" w:hAnsi="Times New Roman" w:eastAsia="黑体" w:cs="Times New Roman"/>
                <w:spacing w:val="-14"/>
                <w:sz w:val="21"/>
                <w:szCs w:val="21"/>
                <w:lang w:val="en-US" w:eastAsia="zh-CN"/>
              </w:rPr>
            </w:pPr>
            <w:r>
              <w:rPr>
                <w:rFonts w:hint="eastAsia"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lang w:val="en-US" w:eastAsia="zh-CN"/>
              </w:rPr>
              <w:t>表</w:t>
            </w:r>
            <w:r>
              <w:rPr>
                <w:rFonts w:hint="default" w:ascii="Times New Roman" w:hAnsi="Times New Roman" w:eastAsia="黑体" w:cs="Times New Roman"/>
                <w:spacing w:val="-20"/>
                <w:sz w:val="21"/>
                <w:szCs w:val="21"/>
                <w:lang w:val="en-US" w:eastAsia="zh-CN"/>
              </w:rPr>
              <w:t>3-6 社会生活环境噪声排放源边界噪声排放限值</w:t>
            </w:r>
            <w:r>
              <w:rPr>
                <w:rFonts w:hint="default" w:ascii="Times New Roman" w:hAnsi="Times New Roman" w:eastAsia="黑体" w:cs="Times New Roman"/>
                <w:sz w:val="21"/>
                <w:szCs w:val="21"/>
                <w:lang w:val="en-US" w:eastAsia="zh-CN"/>
              </w:rPr>
              <w:t xml:space="preserve"> </w:t>
            </w:r>
            <w:r>
              <w:rPr>
                <w:rFonts w:hint="eastAsia" w:ascii="Times New Roman" w:hAnsi="Times New Roman" w:eastAsia="黑体" w:cs="Times New Roman"/>
                <w:sz w:val="21"/>
                <w:szCs w:val="21"/>
                <w:lang w:val="en-US" w:eastAsia="zh-CN"/>
              </w:rPr>
              <w:t xml:space="preserve"> </w:t>
            </w:r>
            <w:r>
              <w:rPr>
                <w:rFonts w:hint="default" w:ascii="Times New Roman" w:hAnsi="Times New Roman" w:eastAsia="黑体" w:cs="Times New Roman"/>
                <w:sz w:val="21"/>
                <w:szCs w:val="21"/>
                <w:lang w:val="en-US" w:eastAsia="zh-CN"/>
              </w:rPr>
              <w:t xml:space="preserve"> </w:t>
            </w:r>
            <w:r>
              <w:rPr>
                <w:rFonts w:hint="default" w:ascii="Times New Roman" w:hAnsi="Times New Roman" w:eastAsia="黑体" w:cs="Times New Roman"/>
                <w:spacing w:val="-14"/>
                <w:sz w:val="21"/>
                <w:szCs w:val="21"/>
                <w:lang w:val="en-US" w:eastAsia="zh-CN"/>
              </w:rPr>
              <w:t>等效声级LAeq：dB(A)</w:t>
            </w:r>
          </w:p>
          <w:tbl>
            <w:tblPr>
              <w:tblStyle w:val="18"/>
              <w:tblW w:w="7540" w:type="dxa"/>
              <w:jc w:val="center"/>
              <w:tblInd w:w="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937"/>
              <w:gridCol w:w="2385"/>
              <w:gridCol w:w="15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02" w:hRule="atLeast"/>
                <w:jc w:val="center"/>
              </w:trPr>
              <w:tc>
                <w:tcPr>
                  <w:tcW w:w="1644" w:type="dxa"/>
                  <w:vMerge w:val="restart"/>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环境噪声</w:t>
                  </w:r>
                </w:p>
              </w:tc>
              <w:tc>
                <w:tcPr>
                  <w:tcW w:w="1937" w:type="dxa"/>
                  <w:vMerge w:val="restart"/>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2类</w:t>
                  </w:r>
                </w:p>
              </w:tc>
              <w:tc>
                <w:tcPr>
                  <w:tcW w:w="2385"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  间</w:t>
                  </w:r>
                </w:p>
              </w:tc>
              <w:tc>
                <w:tcPr>
                  <w:tcW w:w="1574"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2" w:hRule="atLeast"/>
                <w:jc w:val="center"/>
              </w:trPr>
              <w:tc>
                <w:tcPr>
                  <w:tcW w:w="1644" w:type="dxa"/>
                  <w:vMerge w:val="continue"/>
                  <w:tcBorders>
                    <w:tl2br w:val="nil"/>
                    <w:tr2bl w:val="nil"/>
                  </w:tcBorders>
                  <w:vAlign w:val="center"/>
                </w:tcPr>
                <w:p>
                  <w:pPr>
                    <w:jc w:val="center"/>
                    <w:rPr>
                      <w:rFonts w:hint="default" w:ascii="Times New Roman" w:hAnsi="Times New Roman" w:cs="Times New Roman"/>
                      <w:color w:val="000000"/>
                      <w:sz w:val="21"/>
                      <w:szCs w:val="21"/>
                    </w:rPr>
                  </w:pPr>
                </w:p>
              </w:tc>
              <w:tc>
                <w:tcPr>
                  <w:tcW w:w="1937" w:type="dxa"/>
                  <w:vMerge w:val="continue"/>
                  <w:tcBorders>
                    <w:tl2br w:val="nil"/>
                    <w:tr2bl w:val="nil"/>
                  </w:tcBorders>
                  <w:vAlign w:val="center"/>
                </w:tcPr>
                <w:p>
                  <w:pPr>
                    <w:jc w:val="center"/>
                    <w:rPr>
                      <w:rFonts w:hint="default" w:ascii="Times New Roman" w:hAnsi="Times New Roman" w:cs="Times New Roman"/>
                      <w:color w:val="000000"/>
                      <w:sz w:val="21"/>
                      <w:szCs w:val="21"/>
                    </w:rPr>
                  </w:pPr>
                </w:p>
              </w:tc>
              <w:tc>
                <w:tcPr>
                  <w:tcW w:w="2385"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  间</w:t>
                  </w:r>
                </w:p>
              </w:tc>
              <w:tc>
                <w:tcPr>
                  <w:tcW w:w="1574" w:type="dxa"/>
                  <w:tcBorders>
                    <w:tl2br w:val="nil"/>
                    <w:tr2bl w:val="nil"/>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r>
          </w:tbl>
          <w:p>
            <w:pPr>
              <w:spacing w:line="360" w:lineRule="auto"/>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4</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HYPERLINK "http://www.so.com/link?url=http://www.doc88.com/p-806573174798.html&amp;q=%E5%9F%8E%E5%B8%82%E5%9E%83%E5%9C%BE%E5%88%86%E7%B1%BB%E6%8E%92%E6%94%BE&amp;ts=1490192216&amp;t=6164ffdd580a4525580b15ede771132&amp;src=haosou" \t "https://www.so.com/_blank"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生活垃圾产生源分类及其排放</w:t>
            </w:r>
            <w:r>
              <w:rPr>
                <w:rFonts w:hint="default" w:ascii="Times New Roman" w:hAnsi="Times New Roman" w:cs="Times New Roman"/>
                <w:color w:val="000000"/>
                <w:sz w:val="21"/>
                <w:szCs w:val="21"/>
              </w:rPr>
              <w:fldChar w:fldCharType="end"/>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CJ</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rPr>
              <w:t>T 368-2011</w:t>
            </w:r>
            <w:r>
              <w:rPr>
                <w:rFonts w:hint="default" w:ascii="Times New Roman" w:hAnsi="Times New Roman" w:cs="Times New Roman"/>
                <w:color w:val="000000"/>
                <w:sz w:val="21"/>
                <w:szCs w:val="21"/>
                <w:lang w:eastAsia="zh-CN"/>
              </w:rPr>
              <w:t>；</w:t>
            </w:r>
          </w:p>
          <w:p>
            <w:pPr>
              <w:spacing w:line="360" w:lineRule="auto"/>
              <w:jc w:val="both"/>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5</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《饮食业油烟排放标准》（GB18483-2001）</w:t>
            </w:r>
            <w:r>
              <w:rPr>
                <w:rFonts w:hint="default" w:ascii="Times New Roman" w:hAnsi="Times New Roman"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总量控制指标</w:t>
            </w:r>
          </w:p>
        </w:tc>
        <w:tc>
          <w:tcPr>
            <w:tcW w:w="7763" w:type="dxa"/>
          </w:tcPr>
          <w:p>
            <w:pPr>
              <w:spacing w:line="360" w:lineRule="auto"/>
              <w:ind w:firstLine="480"/>
              <w:jc w:val="left"/>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本项目污水经化粪池处理后排入城镇污水管网汇入下午屯污水处理厂，项目无需单独进行总量控制，排污指标纳入下午屯污水处理厂。</w:t>
            </w: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ind w:firstLine="480"/>
              <w:jc w:val="left"/>
              <w:rPr>
                <w:rFonts w:hint="default" w:ascii="Times New Roman" w:hAnsi="Times New Roman" w:cs="Times New Roman"/>
                <w:sz w:val="21"/>
                <w:szCs w:val="21"/>
                <w:lang w:val="en-US" w:eastAsia="zh-CN"/>
              </w:rPr>
            </w:pPr>
          </w:p>
          <w:p>
            <w:pPr>
              <w:spacing w:line="360" w:lineRule="auto"/>
              <w:jc w:val="left"/>
              <w:rPr>
                <w:rFonts w:hint="default" w:ascii="Times New Roman" w:hAnsi="Times New Roman" w:cs="Times New Roman"/>
                <w:sz w:val="21"/>
                <w:szCs w:val="21"/>
                <w:lang w:val="en-US" w:eastAsia="zh-CN"/>
              </w:rPr>
            </w:pPr>
          </w:p>
          <w:p>
            <w:pPr>
              <w:spacing w:line="360" w:lineRule="auto"/>
              <w:jc w:val="left"/>
              <w:rPr>
                <w:rFonts w:hint="default" w:ascii="Times New Roman" w:hAnsi="Times New Roman" w:cs="Times New Roman"/>
                <w:sz w:val="21"/>
                <w:szCs w:val="21"/>
                <w:lang w:val="en-US" w:eastAsia="zh-CN"/>
              </w:rPr>
            </w:pPr>
          </w:p>
        </w:tc>
      </w:tr>
    </w:tbl>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表4  工程概况</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7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4" w:type="dxa"/>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项目名称</w:t>
            </w:r>
          </w:p>
        </w:tc>
        <w:tc>
          <w:tcPr>
            <w:tcW w:w="7178" w:type="dxa"/>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pacing w:val="10"/>
                <w:sz w:val="21"/>
                <w:szCs w:val="21"/>
                <w:lang w:eastAsia="zh-CN"/>
              </w:rPr>
              <w:t>贵州·华联城（一期）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44" w:type="dxa"/>
            <w:vAlign w:val="center"/>
          </w:tcPr>
          <w:p>
            <w:pPr>
              <w:spacing w:line="240" w:lineRule="auto"/>
              <w:jc w:val="center"/>
              <w:rPr>
                <w:rFonts w:hint="default"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yellow"/>
                <w:vertAlign w:val="baseline"/>
                <w:lang w:val="en-US" w:eastAsia="zh-CN"/>
              </w:rPr>
              <w:t>项目地理位置（附地理位置图）</w:t>
            </w:r>
          </w:p>
        </w:tc>
        <w:tc>
          <w:tcPr>
            <w:tcW w:w="7178" w:type="dxa"/>
          </w:tcPr>
          <w:p>
            <w:pPr>
              <w:spacing w:line="360" w:lineRule="auto"/>
              <w:jc w:val="both"/>
              <w:rPr>
                <w:sz w:val="21"/>
                <w:szCs w:val="21"/>
                <w:highlight w:val="none"/>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本项目在</w:t>
            </w:r>
            <w:r>
              <w:rPr>
                <w:rFonts w:hint="default" w:ascii="Times New Roman" w:hAnsi="Times New Roman" w:cs="Times New Roman"/>
                <w:color w:val="auto"/>
                <w:sz w:val="21"/>
                <w:szCs w:val="21"/>
                <w:highlight w:val="none"/>
                <w:lang w:val="en-US" w:eastAsia="zh-CN"/>
              </w:rPr>
              <w:t>兴义市兴泰办水库社区安置区旁</w:t>
            </w:r>
            <w:r>
              <w:rPr>
                <w:rFonts w:hint="eastAsia" w:ascii="Times New Roman" w:hAnsi="Times New Roman" w:cs="Times New Roman"/>
                <w:color w:val="auto"/>
                <w:kern w:val="0"/>
                <w:sz w:val="21"/>
                <w:szCs w:val="21"/>
                <w:highlight w:val="none"/>
                <w:lang w:eastAsia="zh-CN"/>
              </w:rPr>
              <w:t>，地理位置图如下：</w:t>
            </w:r>
          </w:p>
          <w:p>
            <w:pPr>
              <w:spacing w:line="360" w:lineRule="auto"/>
              <w:jc w:val="both"/>
              <w:rPr>
                <w:rFonts w:hint="default" w:ascii="Times New Roman" w:hAnsi="Times New Roman" w:eastAsia="宋体" w:cs="Times New Roman"/>
                <w:b/>
                <w:bCs/>
                <w:sz w:val="21"/>
                <w:szCs w:val="21"/>
                <w:highlight w:val="none"/>
                <w:vertAlign w:val="baseline"/>
                <w:lang w:val="en-US" w:eastAsia="zh-CN"/>
              </w:rPr>
            </w:pPr>
            <w:r>
              <w:rPr>
                <w:sz w:val="24"/>
              </w:rPr>
              <mc:AlternateContent>
                <mc:Choice Requires="wps">
                  <w:drawing>
                    <wp:anchor distT="0" distB="0" distL="114300" distR="114300" simplePos="0" relativeHeight="251754496" behindDoc="0" locked="0" layoutInCell="1" allowOverlap="1">
                      <wp:simplePos x="0" y="0"/>
                      <wp:positionH relativeFrom="column">
                        <wp:posOffset>2693670</wp:posOffset>
                      </wp:positionH>
                      <wp:positionV relativeFrom="paragraph">
                        <wp:posOffset>3656965</wp:posOffset>
                      </wp:positionV>
                      <wp:extent cx="1200150" cy="304165"/>
                      <wp:effectExtent l="12700" t="344805" r="25400" b="17780"/>
                      <wp:wrapNone/>
                      <wp:docPr id="50" name="圆角矩形标注 50"/>
                      <wp:cNvGraphicFramePr/>
                      <a:graphic xmlns:a="http://schemas.openxmlformats.org/drawingml/2006/main">
                        <a:graphicData uri="http://schemas.microsoft.com/office/word/2010/wordprocessingShape">
                          <wps:wsp>
                            <wps:cNvSpPr/>
                            <wps:spPr>
                              <a:xfrm>
                                <a:off x="5890260" y="4305935"/>
                                <a:ext cx="1200150" cy="304165"/>
                              </a:xfrm>
                              <a:prstGeom prst="wedgeRoundRectCallout">
                                <a:avLst>
                                  <a:gd name="adj1" fmla="val 46031"/>
                                  <a:gd name="adj2" fmla="val -159185"/>
                                  <a:gd name="adj3" fmla="val 16667"/>
                                </a:avLst>
                              </a:prstGeom>
                            </wps:spPr>
                            <wps:style>
                              <a:lnRef idx="1">
                                <a:schemeClr val="accent6"/>
                              </a:lnRef>
                              <a:fillRef idx="2">
                                <a:schemeClr val="accent6"/>
                              </a:fillRef>
                              <a:effectRef idx="1">
                                <a:schemeClr val="accent6"/>
                              </a:effectRef>
                              <a:fontRef idx="minor">
                                <a:schemeClr val="dk1"/>
                              </a:fontRef>
                            </wps:style>
                            <wps:txbx>
                              <w:txbxContent>
                                <w:p>
                                  <w:pPr>
                                    <w:jc w:val="center"/>
                                    <w:rPr>
                                      <w:rFonts w:hint="eastAsia" w:eastAsiaTheme="minorEastAsia"/>
                                      <w:lang w:eastAsia="zh-CN"/>
                                    </w:rPr>
                                  </w:pPr>
                                  <w:r>
                                    <w:rPr>
                                      <w:rFonts w:hint="eastAsia"/>
                                      <w:lang w:eastAsia="zh-CN"/>
                                    </w:rPr>
                                    <w:t>兴泰安置区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12.1pt;margin-top:287.95pt;height:23.95pt;width:94.5pt;z-index:251754496;v-text-anchor:middle;mso-width-relative:page;mso-height-relative:page;" fillcolor="#FFBE86 [3216]" filled="t" stroked="t" coordsize="21600,21600" o:gfxdata="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OnjhjHeAAAACwEAAA8AAAAAAAAAAQAgAAAAIgAAAGRycy9kb3ducmV2LnhtbFBL&#10;AQIUABQAAAAIAIdO4kCYSe6VfwMAAIYHAAAOAAAAAAAAAAEAIAAAAC0BAABkcnMvZTJvRG9jLnht&#10;bFBLBQYAAAAABgAGAFkBAAAeBwAAAAA=&#10;" adj="20743,-23584,144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textbox>
                        <w:txbxContent>
                          <w:p>
                            <w:pPr>
                              <w:jc w:val="center"/>
                              <w:rPr>
                                <w:rFonts w:hint="eastAsia" w:eastAsiaTheme="minorEastAsia"/>
                                <w:lang w:eastAsia="zh-CN"/>
                              </w:rPr>
                            </w:pPr>
                            <w:r>
                              <w:rPr>
                                <w:rFonts w:hint="eastAsia"/>
                                <w:lang w:eastAsia="zh-CN"/>
                              </w:rPr>
                              <w:t>兴泰安置区</w:t>
                            </w:r>
                          </w:p>
                        </w:txbxContent>
                      </v:textbox>
                    </v:shap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1703070</wp:posOffset>
                      </wp:positionH>
                      <wp:positionV relativeFrom="paragraph">
                        <wp:posOffset>2054860</wp:posOffset>
                      </wp:positionV>
                      <wp:extent cx="914400" cy="1304925"/>
                      <wp:effectExtent l="12700" t="12700" r="25400" b="15875"/>
                      <wp:wrapNone/>
                      <wp:docPr id="44" name="任意多边形 44"/>
                      <wp:cNvGraphicFramePr/>
                      <a:graphic xmlns:a="http://schemas.openxmlformats.org/drawingml/2006/main">
                        <a:graphicData uri="http://schemas.microsoft.com/office/word/2010/wordprocessingShape">
                          <wps:wsp>
                            <wps:cNvSpPr/>
                            <wps:spPr>
                              <a:xfrm>
                                <a:off x="3699510" y="3963035"/>
                                <a:ext cx="914400" cy="1304925"/>
                              </a:xfrm>
                              <a:custGeom>
                                <a:avLst/>
                                <a:gdLst>
                                  <a:gd name="connisteX0" fmla="*/ 95250 w 914400"/>
                                  <a:gd name="connsiteY0" fmla="*/ 0 h 1304925"/>
                                  <a:gd name="connisteX1" fmla="*/ 885825 w 914400"/>
                                  <a:gd name="connsiteY1" fmla="*/ 0 h 1304925"/>
                                  <a:gd name="connisteX2" fmla="*/ 914400 w 914400"/>
                                  <a:gd name="connsiteY2" fmla="*/ 904875 h 1304925"/>
                                  <a:gd name="connisteX3" fmla="*/ 561975 w 914400"/>
                                  <a:gd name="connsiteY3" fmla="*/ 1304925 h 1304925"/>
                                  <a:gd name="connisteX4" fmla="*/ 28575 w 914400"/>
                                  <a:gd name="connsiteY4" fmla="*/ 1285875 h 1304925"/>
                                  <a:gd name="connisteX5" fmla="*/ 0 w 914400"/>
                                  <a:gd name="connsiteY5" fmla="*/ 19050 h 1304925"/>
                                  <a:gd name="connisteX6" fmla="*/ 95250 w 914400"/>
                                  <a:gd name="connsiteY6" fmla="*/ 0 h 13049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914400" h="1304925">
                                    <a:moveTo>
                                      <a:pt x="95250" y="0"/>
                                    </a:moveTo>
                                    <a:lnTo>
                                      <a:pt x="885825" y="0"/>
                                    </a:lnTo>
                                    <a:lnTo>
                                      <a:pt x="914400" y="904875"/>
                                    </a:lnTo>
                                    <a:lnTo>
                                      <a:pt x="561975" y="1304925"/>
                                    </a:lnTo>
                                    <a:lnTo>
                                      <a:pt x="28575" y="1285875"/>
                                    </a:lnTo>
                                    <a:lnTo>
                                      <a:pt x="0" y="19050"/>
                                    </a:lnTo>
                                    <a:lnTo>
                                      <a:pt x="95250" y="0"/>
                                    </a:lnTo>
                                    <a:close/>
                                  </a:path>
                                </a:pathLst>
                              </a:custGeom>
                              <a:noFill/>
                              <a:ln>
                                <a:solidFill>
                                  <a:srgbClr val="FFFF00"/>
                                </a:solidFill>
                              </a:ln>
                              <a:extLst>
                                <a:ext uri="{909E8E84-426E-40DD-AFC4-6F175D3DCCD1}">
                                  <a14:hiddenFill xmlns:a14="http://schemas.microsoft.com/office/drawing/2010/main">
                                    <a:solidFill>
                                      <a:srgbClr val="FFFF00"/>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b/>
                                      <w:bCs/>
                                      <w:lang w:eastAsia="zh-CN"/>
                                    </w:rPr>
                                  </w:pPr>
                                </w:p>
                                <w:p>
                                  <w:pPr>
                                    <w:jc w:val="center"/>
                                    <w:rPr>
                                      <w:rFonts w:hint="eastAsia"/>
                                      <w:b/>
                                      <w:bCs/>
                                      <w:lang w:eastAsia="zh-CN"/>
                                    </w:rPr>
                                  </w:pPr>
                                </w:p>
                                <w:p>
                                  <w:pPr>
                                    <w:jc w:val="center"/>
                                    <w:rPr>
                                      <w:rFonts w:hint="eastAsia" w:eastAsiaTheme="minorEastAsia"/>
                                      <w:b/>
                                      <w:bCs/>
                                      <w:color w:val="FFFF00"/>
                                      <w:lang w:eastAsia="zh-CN"/>
                                    </w:rPr>
                                  </w:pPr>
                                  <w:r>
                                    <w:rPr>
                                      <w:rFonts w:hint="eastAsia"/>
                                      <w:b/>
                                      <w:bCs/>
                                      <w:color w:val="FFFF00"/>
                                      <w:lang w:eastAsia="zh-CN"/>
                                    </w:rPr>
                                    <w:t>万鑫黄金城、兴泰广场</w:t>
                                  </w:r>
                                </w:p>
                              </w:txbxContent>
                            </wps:txbx>
                            <wps:bodyPr/>
                          </wps:wsp>
                        </a:graphicData>
                      </a:graphic>
                    </wp:anchor>
                  </w:drawing>
                </mc:Choice>
                <mc:Fallback>
                  <w:pict>
                    <v:shape id="_x0000_s1026" o:spid="_x0000_s1026" o:spt="100" style="position:absolute;left:0pt;margin-left:134.1pt;margin-top:161.8pt;height:102.75pt;width:72pt;z-index:251749376;mso-width-relative:page;mso-height-relative:page;" filled="f" stroked="t" coordsize="914400,1304925" o:gfxdata="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1Z7oXdcAAAALAQAADwAAAAAAAAABACAAAAAiAAAAZHJzL2Rvd25y&#10;ZXYueG1sUEsBAhQAFAAAAAgAh07iQB3zcAiOAwAAbgoAAA4AAAAAAAAAAQAgAAAAJgEAAGRycy9l&#10;Mm9Eb2MueG1sUEsFBgAAAAAGAAYAWQEAACYHAAAAAA==&#10;" path="m95250,0l885825,0,914400,904875,561975,1304925,28575,1285875,0,19050,95250,0xe">
                      <v:path o:connectlocs="95250,0;885825,0;914400,904875;561975,1304925;28575,1285875;0,19050;95250,0" o:connectangles="0,0,0,0,0,0,0"/>
                      <v:fill on="f" focussize="0,0"/>
                      <v:stroke weight="2pt" color="#FFFF00 [3204]" joinstyle="round"/>
                      <v:imagedata o:title=""/>
                      <o:lock v:ext="edit" aspectratio="f"/>
                      <v:textbox>
                        <w:txbxContent>
                          <w:p>
                            <w:pPr>
                              <w:jc w:val="center"/>
                              <w:rPr>
                                <w:rFonts w:hint="eastAsia"/>
                                <w:b/>
                                <w:bCs/>
                                <w:lang w:eastAsia="zh-CN"/>
                              </w:rPr>
                            </w:pPr>
                          </w:p>
                          <w:p>
                            <w:pPr>
                              <w:jc w:val="center"/>
                              <w:rPr>
                                <w:rFonts w:hint="eastAsia"/>
                                <w:b/>
                                <w:bCs/>
                                <w:lang w:eastAsia="zh-CN"/>
                              </w:rPr>
                            </w:pPr>
                          </w:p>
                          <w:p>
                            <w:pPr>
                              <w:jc w:val="center"/>
                              <w:rPr>
                                <w:rFonts w:hint="eastAsia" w:eastAsiaTheme="minorEastAsia"/>
                                <w:b/>
                                <w:bCs/>
                                <w:color w:val="FFFF00"/>
                                <w:lang w:eastAsia="zh-CN"/>
                              </w:rPr>
                            </w:pPr>
                            <w:r>
                              <w:rPr>
                                <w:rFonts w:hint="eastAsia"/>
                                <w:b/>
                                <w:bCs/>
                                <w:color w:val="FFFF00"/>
                                <w:lang w:eastAsia="zh-CN"/>
                              </w:rPr>
                              <w:t>万鑫黄金城、兴泰广场</w:t>
                            </w:r>
                          </w:p>
                        </w:txbxContent>
                      </v:textbox>
                    </v:shape>
                  </w:pict>
                </mc:Fallback>
              </mc:AlternateContent>
            </w:r>
            <w:r>
              <w:drawing>
                <wp:inline distT="0" distB="0" distL="114300" distR="114300">
                  <wp:extent cx="4417060" cy="4028440"/>
                  <wp:effectExtent l="0" t="0" r="2540" b="1016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3"/>
                          <a:stretch>
                            <a:fillRect/>
                          </a:stretch>
                        </pic:blipFill>
                        <pic:spPr>
                          <a:xfrm>
                            <a:off x="0" y="0"/>
                            <a:ext cx="4417060" cy="4028440"/>
                          </a:xfrm>
                          <a:prstGeom prst="rect">
                            <a:avLst/>
                          </a:prstGeom>
                          <a:noFill/>
                          <a:ln w="9525">
                            <a:noFill/>
                          </a:ln>
                        </pic:spPr>
                      </pic:pic>
                    </a:graphicData>
                  </a:graphic>
                </wp:inline>
              </w:drawing>
            </w:r>
            <w:r>
              <w:rPr>
                <w:sz w:val="24"/>
              </w:rPr>
              <mc:AlternateContent>
                <mc:Choice Requires="wps">
                  <w:drawing>
                    <wp:anchor distT="0" distB="0" distL="114300" distR="114300" simplePos="0" relativeHeight="251753472" behindDoc="0" locked="0" layoutInCell="1" allowOverlap="1">
                      <wp:simplePos x="0" y="0"/>
                      <wp:positionH relativeFrom="column">
                        <wp:posOffset>3769995</wp:posOffset>
                      </wp:positionH>
                      <wp:positionV relativeFrom="paragraph">
                        <wp:posOffset>2359660</wp:posOffset>
                      </wp:positionV>
                      <wp:extent cx="142875" cy="1038225"/>
                      <wp:effectExtent l="12700" t="12700" r="15875" b="15875"/>
                      <wp:wrapNone/>
                      <wp:docPr id="49" name="任意多边形 49"/>
                      <wp:cNvGraphicFramePr/>
                      <a:graphic xmlns:a="http://schemas.openxmlformats.org/drawingml/2006/main">
                        <a:graphicData uri="http://schemas.microsoft.com/office/word/2010/wordprocessingShape">
                          <wps:wsp>
                            <wps:cNvSpPr/>
                            <wps:spPr>
                              <a:xfrm>
                                <a:off x="5766435" y="4277360"/>
                                <a:ext cx="142875" cy="1038225"/>
                              </a:xfrm>
                              <a:custGeom>
                                <a:avLst/>
                                <a:gdLst>
                                  <a:gd name="connisteX0" fmla="*/ 0 w 142875"/>
                                  <a:gd name="connsiteY0" fmla="*/ 38100 h 1038225"/>
                                  <a:gd name="connisteX1" fmla="*/ 0 w 142875"/>
                                  <a:gd name="connsiteY1" fmla="*/ 1038225 h 1038225"/>
                                  <a:gd name="connisteX2" fmla="*/ 142875 w 142875"/>
                                  <a:gd name="connsiteY2" fmla="*/ 1009650 h 1038225"/>
                                  <a:gd name="connisteX3" fmla="*/ 142875 w 142875"/>
                                  <a:gd name="connsiteY3" fmla="*/ 0 h 1038225"/>
                                  <a:gd name="connisteX4" fmla="*/ 0 w 142875"/>
                                  <a:gd name="connsiteY4" fmla="*/ 38100 h 10382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2875" h="1038225">
                                    <a:moveTo>
                                      <a:pt x="0" y="38100"/>
                                    </a:moveTo>
                                    <a:lnTo>
                                      <a:pt x="0" y="1038225"/>
                                    </a:lnTo>
                                    <a:lnTo>
                                      <a:pt x="142875" y="1009650"/>
                                    </a:lnTo>
                                    <a:lnTo>
                                      <a:pt x="142875" y="0"/>
                                    </a:lnTo>
                                    <a:lnTo>
                                      <a:pt x="0" y="38100"/>
                                    </a:lnTo>
                                    <a:close/>
                                  </a:path>
                                </a:pathLst>
                              </a:custGeom>
                              <a:noFill/>
                              <a:ln>
                                <a:solidFill>
                                  <a:srgbClr val="FFFF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6.85pt;margin-top:185.8pt;height:81.75pt;width:11.25pt;z-index:251753472;mso-width-relative:page;mso-height-relative:page;" filled="f" stroked="t" coordsize="142875,1038225" o:gfxdata="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N&#10;/05W2QAAAAsBAAAPAAAAAAAAAAEAIAAAACIAAABkcnMvZG93bnJldi54bWxQSwECFAAUAAAACACH&#10;TuJAUy7Sz0ADAADOCAAADgAAAAAAAAABACAAAAAoAQAAZHJzL2Uyb0RvYy54bWxQSwUGAAAAAAYA&#10;BgBZAQAA2gYAAAAA&#10;" path="m0,38100l0,1038225,142875,1009650,142875,0,0,38100xe">
                      <v:path o:connectlocs="0,38100;0,1038225;142875,1009650;142875,0;0,38100" o:connectangles="0,0,0,0,0"/>
                      <v:fill on="f" focussize="0,0"/>
                      <v:stroke weight="2pt" color="#FFFF00 [3204]" joinstyle="round"/>
                      <v:imagedata o:title=""/>
                      <o:lock v:ext="edit" aspectratio="f"/>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1674495</wp:posOffset>
                      </wp:positionH>
                      <wp:positionV relativeFrom="paragraph">
                        <wp:posOffset>778510</wp:posOffset>
                      </wp:positionV>
                      <wp:extent cx="933450" cy="990600"/>
                      <wp:effectExtent l="12700" t="12700" r="25400" b="25400"/>
                      <wp:wrapNone/>
                      <wp:docPr id="48" name="任意多边形 48"/>
                      <wp:cNvGraphicFramePr/>
                      <a:graphic xmlns:a="http://schemas.openxmlformats.org/drawingml/2006/main">
                        <a:graphicData uri="http://schemas.microsoft.com/office/word/2010/wordprocessingShape">
                          <wps:wsp>
                            <wps:cNvSpPr/>
                            <wps:spPr>
                              <a:xfrm>
                                <a:off x="3670935" y="2696210"/>
                                <a:ext cx="933450" cy="990600"/>
                              </a:xfrm>
                              <a:custGeom>
                                <a:avLst/>
                                <a:gdLst>
                                  <a:gd name="connisteX0" fmla="*/ 0 w 933450"/>
                                  <a:gd name="connsiteY0" fmla="*/ 0 h 990600"/>
                                  <a:gd name="connisteX1" fmla="*/ 19050 w 933450"/>
                                  <a:gd name="connsiteY1" fmla="*/ 962025 h 990600"/>
                                  <a:gd name="connisteX2" fmla="*/ 933450 w 933450"/>
                                  <a:gd name="connsiteY2" fmla="*/ 990600 h 990600"/>
                                  <a:gd name="connisteX3" fmla="*/ 923925 w 933450"/>
                                  <a:gd name="connsiteY3" fmla="*/ 38100 h 990600"/>
                                  <a:gd name="connisteX4" fmla="*/ 0 w 933450"/>
                                  <a:gd name="connsiteY4" fmla="*/ 0 h 9906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33450" h="990600">
                                    <a:moveTo>
                                      <a:pt x="0" y="0"/>
                                    </a:moveTo>
                                    <a:lnTo>
                                      <a:pt x="19050" y="962025"/>
                                    </a:lnTo>
                                    <a:lnTo>
                                      <a:pt x="933450" y="990600"/>
                                    </a:lnTo>
                                    <a:lnTo>
                                      <a:pt x="923925" y="38100"/>
                                    </a:lnTo>
                                    <a:lnTo>
                                      <a:pt x="0" y="0"/>
                                    </a:lnTo>
                                    <a:close/>
                                  </a:path>
                                </a:pathLst>
                              </a:custGeom>
                              <a:noFill/>
                              <a:ln>
                                <a:solidFill>
                                  <a:srgbClr val="FFFF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lang w:eastAsia="zh-CN"/>
                                    </w:rPr>
                                  </w:pPr>
                                </w:p>
                                <w:p>
                                  <w:pPr>
                                    <w:jc w:val="center"/>
                                    <w:rPr>
                                      <w:rFonts w:hint="eastAsia" w:eastAsiaTheme="minorEastAsia"/>
                                      <w:b/>
                                      <w:bCs/>
                                      <w:color w:val="FFFF00"/>
                                      <w:lang w:eastAsia="zh-CN"/>
                                    </w:rPr>
                                  </w:pPr>
                                  <w:r>
                                    <w:rPr>
                                      <w:rFonts w:hint="eastAsia"/>
                                      <w:b/>
                                      <w:bCs/>
                                      <w:color w:val="FFFF00"/>
                                      <w:lang w:eastAsia="zh-CN"/>
                                    </w:rPr>
                                    <w:t>万峰郡府</w:t>
                                  </w:r>
                                </w:p>
                              </w:txbxContent>
                            </wps:txbx>
                            <wps:bodyPr/>
                          </wps:wsp>
                        </a:graphicData>
                      </a:graphic>
                    </wp:anchor>
                  </w:drawing>
                </mc:Choice>
                <mc:Fallback>
                  <w:pict>
                    <v:shape id="_x0000_s1026" o:spid="_x0000_s1026" o:spt="100" style="position:absolute;left:0pt;margin-left:131.85pt;margin-top:61.3pt;height:78pt;width:73.5pt;z-index:251752448;mso-width-relative:page;mso-height-relative:page;" filled="f" stroked="t" coordsize="933450,990600" o:gfxdata="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TqXM9gAAAALAQAADwAAAAAAAAABACAAAAAiAAAAZHJzL2Rvd25yZXYueG1s&#10;UEsBAhQAFAAAAAgAh07iQOGxbVxOAwAAwwgAAA4AAAAAAAAAAQAgAAAAJwEAAGRycy9lMm9Eb2Mu&#10;eG1sUEsFBgAAAAAGAAYAWQEAAOcGAAAAAA==&#10;" path="m0,0l19050,962025,933450,990600,923925,38100,0,0xe">
                      <v:path textboxrect="0,0,933450,990600" o:connectlocs="0,0;19050,962025;933450,990600;923925,38100;0,0" o:connectangles="0,0,0,0,0"/>
                      <v:fill on="f" focussize="0,0"/>
                      <v:stroke weight="2pt" color="#FFFF00 [3204]" joinstyle="round"/>
                      <v:imagedata o:title=""/>
                      <o:lock v:ext="edit" aspectratio="f"/>
                      <v:textbox>
                        <w:txbxContent>
                          <w:p>
                            <w:pPr>
                              <w:jc w:val="center"/>
                              <w:rPr>
                                <w:rFonts w:hint="eastAsia"/>
                                <w:lang w:eastAsia="zh-CN"/>
                              </w:rPr>
                            </w:pPr>
                          </w:p>
                          <w:p>
                            <w:pPr>
                              <w:jc w:val="center"/>
                              <w:rPr>
                                <w:rFonts w:hint="eastAsia" w:eastAsiaTheme="minorEastAsia"/>
                                <w:b/>
                                <w:bCs/>
                                <w:color w:val="FFFF00"/>
                                <w:lang w:eastAsia="zh-CN"/>
                              </w:rPr>
                            </w:pPr>
                            <w:r>
                              <w:rPr>
                                <w:rFonts w:hint="eastAsia"/>
                                <w:b/>
                                <w:bCs/>
                                <w:color w:val="FFFF00"/>
                                <w:lang w:eastAsia="zh-CN"/>
                              </w:rPr>
                              <w:t>万峰郡府</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64770</wp:posOffset>
                      </wp:positionH>
                      <wp:positionV relativeFrom="paragraph">
                        <wp:posOffset>502285</wp:posOffset>
                      </wp:positionV>
                      <wp:extent cx="1447800" cy="1219200"/>
                      <wp:effectExtent l="12700" t="12700" r="25400" b="25400"/>
                      <wp:wrapNone/>
                      <wp:docPr id="47" name="任意多边形 47"/>
                      <wp:cNvGraphicFramePr/>
                      <a:graphic xmlns:a="http://schemas.openxmlformats.org/drawingml/2006/main">
                        <a:graphicData uri="http://schemas.microsoft.com/office/word/2010/wordprocessingShape">
                          <wps:wsp>
                            <wps:cNvSpPr/>
                            <wps:spPr>
                              <a:xfrm>
                                <a:off x="2061210" y="2419985"/>
                                <a:ext cx="1447800" cy="1219200"/>
                              </a:xfrm>
                              <a:custGeom>
                                <a:avLst/>
                                <a:gdLst>
                                  <a:gd name="connisteX0" fmla="*/ 0 w 1447800"/>
                                  <a:gd name="connsiteY0" fmla="*/ 1181100 h 1219200"/>
                                  <a:gd name="connisteX1" fmla="*/ 1447800 w 1447800"/>
                                  <a:gd name="connsiteY1" fmla="*/ 1219200 h 1219200"/>
                                  <a:gd name="connisteX2" fmla="*/ 1438275 w 1447800"/>
                                  <a:gd name="connsiteY2" fmla="*/ 0 h 1219200"/>
                                  <a:gd name="connisteX3" fmla="*/ 19050 w 1447800"/>
                                  <a:gd name="connsiteY3" fmla="*/ 0 h 1219200"/>
                                  <a:gd name="connisteX4" fmla="*/ 0 w 1447800"/>
                                  <a:gd name="connsiteY4" fmla="*/ 1181100 h 12192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47800" h="1219200">
                                    <a:moveTo>
                                      <a:pt x="0" y="1181100"/>
                                    </a:moveTo>
                                    <a:lnTo>
                                      <a:pt x="1447800" y="1219200"/>
                                    </a:lnTo>
                                    <a:lnTo>
                                      <a:pt x="1438275" y="0"/>
                                    </a:lnTo>
                                    <a:lnTo>
                                      <a:pt x="19050" y="0"/>
                                    </a:lnTo>
                                    <a:lnTo>
                                      <a:pt x="0" y="1181100"/>
                                    </a:lnTo>
                                    <a:close/>
                                  </a:path>
                                </a:pathLst>
                              </a:custGeom>
                              <a:noFill/>
                              <a:ln>
                                <a:solidFill>
                                  <a:srgbClr val="FFFF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lang w:eastAsia="zh-CN"/>
                                    </w:rPr>
                                  </w:pPr>
                                </w:p>
                                <w:p>
                                  <w:pPr>
                                    <w:jc w:val="center"/>
                                    <w:rPr>
                                      <w:rFonts w:hint="eastAsia"/>
                                      <w:lang w:eastAsia="zh-CN"/>
                                    </w:rPr>
                                  </w:pPr>
                                </w:p>
                                <w:p>
                                  <w:pPr>
                                    <w:jc w:val="center"/>
                                    <w:rPr>
                                      <w:rFonts w:hint="eastAsia" w:eastAsiaTheme="minorEastAsia"/>
                                      <w:b/>
                                      <w:bCs/>
                                      <w:color w:val="FFFF00"/>
                                      <w:lang w:eastAsia="zh-CN"/>
                                    </w:rPr>
                                  </w:pPr>
                                  <w:r>
                                    <w:rPr>
                                      <w:rFonts w:hint="eastAsia"/>
                                      <w:b/>
                                      <w:bCs/>
                                      <w:color w:val="FFFF00"/>
                                      <w:lang w:eastAsia="zh-CN"/>
                                    </w:rPr>
                                    <w:t>荣誉天下住宅小区</w:t>
                                  </w:r>
                                </w:p>
                              </w:txbxContent>
                            </wps:txbx>
                            <wps:bodyPr/>
                          </wps:wsp>
                        </a:graphicData>
                      </a:graphic>
                    </wp:anchor>
                  </w:drawing>
                </mc:Choice>
                <mc:Fallback>
                  <w:pict>
                    <v:shape id="_x0000_s1026" o:spid="_x0000_s1026" o:spt="100" style="position:absolute;left:0pt;margin-left:5.1pt;margin-top:39.55pt;height:96pt;width:114pt;z-index:251751424;mso-width-relative:page;mso-height-relative:page;" filled="f" stroked="t" coordsize="1447800,1219200" o:gfxdata="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MwrXu1wAAAAkBAAAPAAAAAAAAAAEAIAAAACIAAABkcnMvZG93bnJldi54bWxQ&#10;SwECFAAUAAAACACHTuJAIdq+DE4DAADoCAAADgAAAAAAAAABACAAAAAmAQAAZHJzL2Uyb0RvYy54&#10;bWxQSwUGAAAAAAYABgBZAQAA5gYAAAAA&#10;" path="m0,1181100l1447800,1219200,1438275,0,19050,0,0,1181100xe">
                      <v:path textboxrect="0,0,1447800,1219200" o:connectlocs="0,1181100;1447800,1219200;1438275,0;19050,0;0,1181100" o:connectangles="0,0,0,0,0"/>
                      <v:fill on="f" focussize="0,0"/>
                      <v:stroke weight="2pt" color="#FFFF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Theme="minorEastAsia"/>
                                <w:b/>
                                <w:bCs/>
                                <w:color w:val="FFFF00"/>
                                <w:lang w:eastAsia="zh-CN"/>
                              </w:rPr>
                            </w:pPr>
                            <w:r>
                              <w:rPr>
                                <w:rFonts w:hint="eastAsia"/>
                                <w:b/>
                                <w:bCs/>
                                <w:color w:val="FFFF00"/>
                                <w:lang w:eastAsia="zh-CN"/>
                              </w:rPr>
                              <w:t>荣誉天下住宅小区</w:t>
                            </w:r>
                          </w:p>
                        </w:txbxContent>
                      </v:textbox>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17145</wp:posOffset>
                      </wp:positionH>
                      <wp:positionV relativeFrom="paragraph">
                        <wp:posOffset>1883410</wp:posOffset>
                      </wp:positionV>
                      <wp:extent cx="1485900" cy="2162175"/>
                      <wp:effectExtent l="12700" t="12700" r="25400" b="15875"/>
                      <wp:wrapNone/>
                      <wp:docPr id="46" name="任意多边形 46"/>
                      <wp:cNvGraphicFramePr/>
                      <a:graphic xmlns:a="http://schemas.openxmlformats.org/drawingml/2006/main">
                        <a:graphicData uri="http://schemas.microsoft.com/office/word/2010/wordprocessingShape">
                          <wps:wsp>
                            <wps:cNvSpPr/>
                            <wps:spPr>
                              <a:xfrm>
                                <a:off x="2013585" y="3801110"/>
                                <a:ext cx="1485900" cy="2162175"/>
                              </a:xfrm>
                              <a:custGeom>
                                <a:avLst/>
                                <a:gdLst>
                                  <a:gd name="connisteX0" fmla="*/ 800100 w 1485900"/>
                                  <a:gd name="connsiteY0" fmla="*/ 1257300 h 2162175"/>
                                  <a:gd name="connisteX1" fmla="*/ 1428750 w 1485900"/>
                                  <a:gd name="connsiteY1" fmla="*/ 1295400 h 2162175"/>
                                  <a:gd name="connisteX2" fmla="*/ 1485900 w 1485900"/>
                                  <a:gd name="connsiteY2" fmla="*/ 209550 h 2162175"/>
                                  <a:gd name="connisteX3" fmla="*/ 1304925 w 1485900"/>
                                  <a:gd name="connsiteY3" fmla="*/ 0 h 2162175"/>
                                  <a:gd name="connisteX4" fmla="*/ 19050 w 1485900"/>
                                  <a:gd name="connsiteY4" fmla="*/ 9525 h 2162175"/>
                                  <a:gd name="connisteX5" fmla="*/ 0 w 1485900"/>
                                  <a:gd name="connsiteY5" fmla="*/ 1743075 h 2162175"/>
                                  <a:gd name="connisteX6" fmla="*/ 19050 w 1485900"/>
                                  <a:gd name="connsiteY6" fmla="*/ 2162175 h 2162175"/>
                                  <a:gd name="connisteX7" fmla="*/ 514350 w 1485900"/>
                                  <a:gd name="connsiteY7" fmla="*/ 2152650 h 2162175"/>
                                  <a:gd name="connisteX8" fmla="*/ 561975 w 1485900"/>
                                  <a:gd name="connsiteY8" fmla="*/ 1524000 h 2162175"/>
                                  <a:gd name="connisteX9" fmla="*/ 571500 w 1485900"/>
                                  <a:gd name="connsiteY9" fmla="*/ 1323975 h 2162175"/>
                                  <a:gd name="connisteX10" fmla="*/ 752475 w 1485900"/>
                                  <a:gd name="connsiteY10" fmla="*/ 1228725 h 2162175"/>
                                  <a:gd name="connisteX11" fmla="*/ 800100 w 1485900"/>
                                  <a:gd name="connsiteY11" fmla="*/ 1257300 h 21621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1485900" h="2162175">
                                    <a:moveTo>
                                      <a:pt x="800100" y="1257300"/>
                                    </a:moveTo>
                                    <a:lnTo>
                                      <a:pt x="1428750" y="1295400"/>
                                    </a:lnTo>
                                    <a:lnTo>
                                      <a:pt x="1485900" y="209550"/>
                                    </a:lnTo>
                                    <a:lnTo>
                                      <a:pt x="1304925" y="0"/>
                                    </a:lnTo>
                                    <a:lnTo>
                                      <a:pt x="19050" y="9525"/>
                                    </a:lnTo>
                                    <a:lnTo>
                                      <a:pt x="0" y="1743075"/>
                                    </a:lnTo>
                                    <a:lnTo>
                                      <a:pt x="19050" y="2162175"/>
                                    </a:lnTo>
                                    <a:lnTo>
                                      <a:pt x="514350" y="2152650"/>
                                    </a:lnTo>
                                    <a:lnTo>
                                      <a:pt x="561975" y="1524000"/>
                                    </a:lnTo>
                                    <a:lnTo>
                                      <a:pt x="571500" y="1323975"/>
                                    </a:lnTo>
                                    <a:lnTo>
                                      <a:pt x="752475" y="1228725"/>
                                    </a:lnTo>
                                    <a:lnTo>
                                      <a:pt x="800100" y="1257300"/>
                                    </a:lnTo>
                                    <a:close/>
                                  </a:path>
                                </a:pathLst>
                              </a:custGeom>
                              <a:noFill/>
                              <a:ln>
                                <a:solidFill>
                                  <a:srgbClr val="FFFF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lang w:eastAsia="zh-CN"/>
                                    </w:rPr>
                                  </w:pPr>
                                </w:p>
                                <w:p>
                                  <w:pPr>
                                    <w:jc w:val="center"/>
                                    <w:rPr>
                                      <w:rFonts w:hint="eastAsia"/>
                                      <w:lang w:eastAsia="zh-CN"/>
                                    </w:rPr>
                                  </w:pPr>
                                </w:p>
                                <w:p>
                                  <w:pPr>
                                    <w:jc w:val="center"/>
                                    <w:rPr>
                                      <w:rFonts w:hint="eastAsia"/>
                                      <w:b/>
                                      <w:bCs/>
                                      <w:color w:val="FFFF00"/>
                                      <w:lang w:eastAsia="zh-CN"/>
                                    </w:rPr>
                                  </w:pPr>
                                  <w:r>
                                    <w:rPr>
                                      <w:rFonts w:hint="eastAsia"/>
                                      <w:b/>
                                      <w:bCs/>
                                      <w:color w:val="FFFF00"/>
                                      <w:lang w:eastAsia="zh-CN"/>
                                    </w:rPr>
                                    <w:t>水木清华</w:t>
                                  </w:r>
                                </w:p>
                              </w:txbxContent>
                            </wps:txbx>
                            <wps:bodyPr/>
                          </wps:wsp>
                        </a:graphicData>
                      </a:graphic>
                    </wp:anchor>
                  </w:drawing>
                </mc:Choice>
                <mc:Fallback>
                  <w:pict>
                    <v:shape id="_x0000_s1026" o:spid="_x0000_s1026" o:spt="100" style="position:absolute;left:0pt;margin-left:1.35pt;margin-top:148.3pt;height:170.25pt;width:117pt;z-index:251750400;mso-width-relative:page;mso-height-relative:page;" filled="f" stroked="t" coordsize="1485900,2162175" o:gfxdata="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fEyAXNgAAAAJAQAA&#10;DwAAAAAAAAABACAAAAAiAAAAZHJzL2Rvd25yZXYueG1sUEsBAhQAFAAAAAgAh07iQIquznRTBAAA&#10;0Q4AAA4AAAAAAAAAAQAgAAAAJwEAAGRycy9lMm9Eb2MueG1sUEsFBgAAAAAGAAYAWQEAAOwHAAAA&#10;AA==&#10;" path="m800100,1257300l1428750,1295400,1485900,209550,1304925,0,19050,9525,0,1743075,19050,2162175,514350,2152650,561975,1524000,571500,1323975,752475,1228725,800100,1257300xe">
                      <v:path textboxrect="0,0,1485900,2162175" o:connectlocs="800100,1257300;1428750,1295400;1485900,209550;1304925,0;19050,9525;0,1743075;19050,2162175;514350,2152650;561975,1524000;571500,1323975;752475,1228725;800100,1257300" o:connectangles="0,0,0,0,0,0,0,0,0,0,0,0"/>
                      <v:fill on="f" focussize="0,0"/>
                      <v:stroke weight="2pt" color="#FFFF00 [320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b/>
                                <w:bCs/>
                                <w:color w:val="FFFF00"/>
                                <w:lang w:eastAsia="zh-CN"/>
                              </w:rPr>
                            </w:pPr>
                            <w:r>
                              <w:rPr>
                                <w:rFonts w:hint="eastAsia"/>
                                <w:b/>
                                <w:bCs/>
                                <w:color w:val="FFFF00"/>
                                <w:lang w:eastAsia="zh-CN"/>
                              </w:rPr>
                              <w:t>水木清华</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2713355</wp:posOffset>
                      </wp:positionH>
                      <wp:positionV relativeFrom="paragraph">
                        <wp:posOffset>1997710</wp:posOffset>
                      </wp:positionV>
                      <wp:extent cx="855980" cy="1390650"/>
                      <wp:effectExtent l="12700" t="12700" r="26670" b="25400"/>
                      <wp:wrapNone/>
                      <wp:docPr id="41" name="单圆角矩形 41"/>
                      <wp:cNvGraphicFramePr/>
                      <a:graphic xmlns:a="http://schemas.openxmlformats.org/drawingml/2006/main">
                        <a:graphicData uri="http://schemas.microsoft.com/office/word/2010/wordprocessingShape">
                          <wps:wsp>
                            <wps:cNvSpPr/>
                            <wps:spPr>
                              <a:xfrm>
                                <a:off x="4375785" y="3543935"/>
                                <a:ext cx="855980" cy="1390650"/>
                              </a:xfrm>
                              <a:prstGeom prst="round1Rect">
                                <a:avLst/>
                              </a:prstGeom>
                              <a:solidFill>
                                <a:srgbClr val="FF0000">
                                  <a:alpha val="27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lang w:eastAsia="zh-CN"/>
                                    </w:rPr>
                                  </w:pPr>
                                  <w:r>
                                    <w:rPr>
                                      <w:rFonts w:hint="eastAsia"/>
                                      <w:b/>
                                      <w:bCs/>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3.65pt;margin-top:157.3pt;height:109.5pt;width:67.4pt;z-index:251748352;v-text-anchor:middle;mso-width-relative:page;mso-height-relative:page;" fillcolor="#FF0000" filled="t" stroked="t" coordsize="855980,1390650" o:gfxdata="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5nKs72QAAAAsBAAAPAAAAAAAAAAEAIAAAACIA&#10;AABkcnMvZG93bnJldi54bWxQSwECFAAUAAAACACHTuJAduHyNXoCAADMBAAADgAAAAAAAAABACAA&#10;AAAoAQAAZHJzL2Uyb0RvYy54bWxQSwUGAAAAAAYABgBZAQAAFAYAAAAA&#10;" path="m0,0l713313,0c792105,0,855979,63874,855979,142666l855980,1390650,0,1390650xe">
                      <v:path o:connectlocs="427990,0;0,695325;427990,1390650;855980,695325" o:connectangles="247,164,82,0"/>
                      <v:fill on="t" opacity="17694f" focussize="0,0"/>
                      <v:stroke weight="2pt" color="#FF0000 [3204]" joinstyle="round"/>
                      <v:imagedata o:title=""/>
                      <o:lock v:ext="edit" aspectratio="f"/>
                      <v:textbox>
                        <w:txbxContent>
                          <w:p>
                            <w:pPr>
                              <w:jc w:val="center"/>
                              <w:rPr>
                                <w:rFonts w:hint="eastAsia" w:eastAsiaTheme="minorEastAsia"/>
                                <w:b/>
                                <w:bCs/>
                                <w:lang w:eastAsia="zh-CN"/>
                              </w:rPr>
                            </w:pPr>
                            <w:r>
                              <w:rPr>
                                <w:rFonts w:hint="eastAsia"/>
                                <w:b/>
                                <w:bCs/>
                                <w:lang w:eastAsia="zh-CN"/>
                              </w:rPr>
                              <w:t>项目所在地</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2" w:type="dxa"/>
            <w:gridSpan w:val="2"/>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主要工程内容及规模：</w:t>
            </w:r>
          </w:p>
          <w:p>
            <w:pPr>
              <w:adjustRightInd w:val="0"/>
              <w:snapToGrid w:val="0"/>
              <w:spacing w:line="240" w:lineRule="auto"/>
              <w:ind w:firstLine="420" w:firstLineChars="200"/>
              <w:rPr>
                <w:rFonts w:hint="default" w:ascii="Times New Roman" w:hAnsi="Times New Roman" w:cs="Times New Roman"/>
                <w:color w:val="auto"/>
                <w:kern w:val="0"/>
                <w:sz w:val="21"/>
                <w:szCs w:val="21"/>
              </w:rPr>
            </w:pPr>
            <w:r>
              <w:rPr>
                <w:rFonts w:hint="eastAsia" w:ascii="Times New Roman" w:hAnsi="Times New Roman" w:eastAsia="宋体" w:cs="Times New Roman"/>
                <w:sz w:val="21"/>
                <w:szCs w:val="21"/>
                <w:lang w:eastAsia="zh-CN"/>
              </w:rPr>
              <w:t>规划</w:t>
            </w:r>
            <w:r>
              <w:rPr>
                <w:rFonts w:hint="default" w:ascii="Times New Roman" w:hAnsi="Times New Roman" w:cs="Times New Roman"/>
                <w:spacing w:val="10"/>
                <w:sz w:val="21"/>
                <w:szCs w:val="21"/>
              </w:rPr>
              <w:t>总用地面积</w:t>
            </w:r>
            <w:r>
              <w:rPr>
                <w:rFonts w:hint="default" w:ascii="Times New Roman" w:hAnsi="Times New Roman" w:cs="Times New Roman"/>
                <w:spacing w:val="10"/>
                <w:sz w:val="21"/>
                <w:szCs w:val="21"/>
                <w:lang w:val="en-US" w:eastAsia="zh-CN"/>
              </w:rPr>
              <w:t>9531.21</w:t>
            </w:r>
            <w:r>
              <w:rPr>
                <w:rFonts w:hint="default" w:ascii="Times New Roman" w:hAnsi="Times New Roman" w:cs="Times New Roman"/>
                <w:spacing w:val="10"/>
                <w:sz w:val="21"/>
                <w:szCs w:val="21"/>
              </w:rPr>
              <w:t>m</w:t>
            </w:r>
            <w:r>
              <w:rPr>
                <w:rFonts w:hint="default" w:ascii="Times New Roman" w:hAnsi="Times New Roman" w:cs="Times New Roman"/>
                <w:spacing w:val="10"/>
                <w:sz w:val="21"/>
                <w:szCs w:val="21"/>
                <w:vertAlign w:val="superscript"/>
              </w:rPr>
              <w:t>2</w:t>
            </w:r>
            <w:r>
              <w:rPr>
                <w:rFonts w:hint="default" w:ascii="Times New Roman" w:hAnsi="Times New Roman" w:cs="Times New Roman"/>
                <w:spacing w:val="10"/>
                <w:sz w:val="21"/>
                <w:szCs w:val="21"/>
              </w:rPr>
              <w:t>，</w:t>
            </w:r>
            <w:r>
              <w:rPr>
                <w:rFonts w:hint="eastAsia" w:ascii="Times New Roman" w:hAnsi="Times New Roman" w:eastAsia="宋体" w:cs="Times New Roman"/>
                <w:sz w:val="21"/>
                <w:szCs w:val="21"/>
                <w:lang w:val="en-US" w:eastAsia="zh-CN"/>
              </w:rPr>
              <w:t>规划</w:t>
            </w:r>
            <w:r>
              <w:rPr>
                <w:rFonts w:hint="default" w:ascii="Times New Roman" w:hAnsi="Times New Roman" w:eastAsia="宋体" w:cs="Times New Roman"/>
                <w:sz w:val="21"/>
                <w:szCs w:val="21"/>
                <w:lang w:val="en-US" w:eastAsia="zh-CN"/>
              </w:rPr>
              <w:t>总建筑</w:t>
            </w:r>
            <w:r>
              <w:rPr>
                <w:rFonts w:hint="eastAsia" w:ascii="Times New Roman" w:hAnsi="Times New Roman" w:eastAsia="宋体" w:cs="Times New Roman"/>
                <w:sz w:val="21"/>
                <w:szCs w:val="21"/>
                <w:lang w:val="en-US" w:eastAsia="zh-CN"/>
              </w:rPr>
              <w:t>面积102494.871</w:t>
            </w:r>
            <w:r>
              <w:rPr>
                <w:rFonts w:hint="default" w:ascii="Times New Roman" w:hAnsi="Times New Roman" w:cs="Times New Roman"/>
                <w:spacing w:val="10"/>
                <w:sz w:val="21"/>
                <w:szCs w:val="21"/>
              </w:rPr>
              <w:t>m</w:t>
            </w:r>
            <w:r>
              <w:rPr>
                <w:rFonts w:hint="default" w:ascii="Times New Roman" w:hAnsi="Times New Roman" w:cs="Times New Roman"/>
                <w:spacing w:val="10"/>
                <w:sz w:val="21"/>
                <w:szCs w:val="21"/>
                <w:vertAlign w:val="superscript"/>
              </w:rPr>
              <w:t>2</w:t>
            </w:r>
            <w:r>
              <w:rPr>
                <w:rFonts w:hint="default" w:ascii="Times New Roman" w:hAnsi="Times New Roman" w:cs="Times New Roman"/>
                <w:color w:val="auto"/>
                <w:spacing w:val="10"/>
                <w:sz w:val="21"/>
                <w:szCs w:val="21"/>
              </w:rPr>
              <w:t>。</w:t>
            </w:r>
            <w:r>
              <w:rPr>
                <w:rFonts w:hint="default" w:ascii="Times New Roman" w:hAnsi="Times New Roman" w:cs="Times New Roman"/>
                <w:color w:val="auto"/>
                <w:kern w:val="0"/>
                <w:sz w:val="21"/>
                <w:szCs w:val="21"/>
              </w:rPr>
              <w:t>由主体工程及</w:t>
            </w:r>
            <w:r>
              <w:rPr>
                <w:rFonts w:hint="default" w:ascii="Times New Roman" w:hAnsi="Times New Roman" w:cs="Times New Roman"/>
                <w:color w:val="auto"/>
                <w:sz w:val="21"/>
                <w:szCs w:val="21"/>
              </w:rPr>
              <w:t>辅助</w:t>
            </w:r>
            <w:r>
              <w:rPr>
                <w:rFonts w:hint="default" w:ascii="Times New Roman" w:hAnsi="Times New Roman" w:cs="Times New Roman"/>
                <w:color w:val="auto"/>
                <w:kern w:val="0"/>
                <w:sz w:val="21"/>
                <w:szCs w:val="21"/>
              </w:rPr>
              <w:t>配套公用工程（包括给排水设施、消防设施、配电设施、停车场、绿化等）组成。</w:t>
            </w:r>
          </w:p>
          <w:p>
            <w:pPr>
              <w:adjustRightInd w:val="0"/>
              <w:snapToGrid w:val="0"/>
              <w:spacing w:line="480" w:lineRule="auto"/>
              <w:ind w:firstLine="422" w:firstLineChars="200"/>
              <w:jc w:val="center"/>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rPr>
              <w:t>表</w:t>
            </w:r>
            <w:r>
              <w:rPr>
                <w:rFonts w:hint="eastAsia" w:ascii="Times New Roman" w:hAnsi="Times New Roman" w:cs="Times New Roman"/>
                <w:b/>
                <w:bCs/>
                <w:color w:val="auto"/>
                <w:kern w:val="0"/>
                <w:sz w:val="21"/>
                <w:szCs w:val="21"/>
                <w:lang w:val="en-US" w:eastAsia="zh-CN"/>
              </w:rPr>
              <w:t>4-1</w:t>
            </w:r>
            <w:r>
              <w:rPr>
                <w:rFonts w:hint="default" w:ascii="Times New Roman" w:hAnsi="Times New Roman" w:cs="Times New Roman"/>
                <w:b/>
                <w:bCs/>
                <w:color w:val="auto"/>
                <w:kern w:val="0"/>
                <w:sz w:val="21"/>
                <w:szCs w:val="21"/>
              </w:rPr>
              <w:t xml:space="preserve"> </w:t>
            </w:r>
            <w:r>
              <w:rPr>
                <w:rFonts w:hint="eastAsia" w:ascii="Times New Roman" w:hAnsi="Times New Roman" w:cs="Times New Roman"/>
                <w:b/>
                <w:bCs/>
                <w:color w:val="auto"/>
                <w:kern w:val="0"/>
                <w:sz w:val="21"/>
                <w:szCs w:val="21"/>
                <w:lang w:val="en-US" w:eastAsia="zh-CN"/>
              </w:rPr>
              <w:t xml:space="preserve"> </w:t>
            </w:r>
            <w:r>
              <w:rPr>
                <w:rFonts w:hint="eastAsia" w:ascii="Times New Roman" w:hAnsi="Times New Roman" w:cs="Times New Roman"/>
                <w:b/>
                <w:bCs/>
                <w:color w:val="auto"/>
                <w:kern w:val="0"/>
                <w:sz w:val="21"/>
                <w:szCs w:val="21"/>
                <w:lang w:eastAsia="zh-CN"/>
              </w:rPr>
              <w:t>项目</w:t>
            </w:r>
            <w:r>
              <w:rPr>
                <w:rFonts w:hint="default" w:ascii="Times New Roman" w:hAnsi="Times New Roman" w:cs="Times New Roman"/>
                <w:b/>
                <w:bCs/>
                <w:color w:val="auto"/>
                <w:kern w:val="0"/>
                <w:sz w:val="21"/>
                <w:szCs w:val="21"/>
              </w:rPr>
              <w:t>主要技术经济指标</w:t>
            </w:r>
            <w:r>
              <w:rPr>
                <w:rFonts w:hint="default" w:ascii="Times New Roman" w:hAnsi="Times New Roman" w:cs="Times New Roman"/>
                <w:b/>
                <w:bCs/>
                <w:color w:val="auto"/>
                <w:kern w:val="0"/>
                <w:sz w:val="21"/>
                <w:szCs w:val="21"/>
                <w:lang w:eastAsia="zh-CN"/>
              </w:rPr>
              <w:t>一览表</w:t>
            </w:r>
          </w:p>
          <w:tbl>
            <w:tblPr>
              <w:tblStyle w:val="18"/>
              <w:tblW w:w="79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968"/>
              <w:gridCol w:w="888"/>
              <w:gridCol w:w="1567"/>
              <w:gridCol w:w="16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blHeader/>
                <w:jc w:val="center"/>
              </w:trPr>
              <w:tc>
                <w:tcPr>
                  <w:tcW w:w="820" w:type="dxa"/>
                  <w:tcBorders>
                    <w:tl2br w:val="nil"/>
                    <w:tr2bl w:val="nil"/>
                  </w:tcBorders>
                  <w:vAlign w:val="center"/>
                </w:tcPr>
                <w:p>
                  <w:pPr>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序号</w:t>
                  </w:r>
                </w:p>
              </w:tc>
              <w:tc>
                <w:tcPr>
                  <w:tcW w:w="2968" w:type="dxa"/>
                  <w:tcBorders>
                    <w:tl2br w:val="nil"/>
                    <w:tr2bl w:val="nil"/>
                  </w:tcBorders>
                  <w:vAlign w:val="center"/>
                </w:tcPr>
                <w:p>
                  <w:pPr>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指 标 名 称</w:t>
                  </w:r>
                </w:p>
              </w:tc>
              <w:tc>
                <w:tcPr>
                  <w:tcW w:w="888" w:type="dxa"/>
                  <w:tcBorders>
                    <w:tl2br w:val="nil"/>
                    <w:tr2bl w:val="nil"/>
                  </w:tcBorders>
                  <w:vAlign w:val="center"/>
                </w:tcPr>
                <w:p>
                  <w:pPr>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单 位</w:t>
                  </w:r>
                </w:p>
              </w:tc>
              <w:tc>
                <w:tcPr>
                  <w:tcW w:w="1567" w:type="dxa"/>
                  <w:tcBorders>
                    <w:tl2br w:val="nil"/>
                    <w:tr2bl w:val="nil"/>
                  </w:tcBorders>
                  <w:vAlign w:val="center"/>
                </w:tcPr>
                <w:p>
                  <w:pPr>
                    <w:jc w:val="center"/>
                    <w:rPr>
                      <w:rFonts w:hint="eastAsia" w:ascii="Times New Roman" w:hAnsi="Times New Roman" w:eastAsia="宋体" w:cs="Times New Roman"/>
                      <w:b/>
                      <w:kern w:val="0"/>
                      <w:sz w:val="21"/>
                      <w:szCs w:val="21"/>
                      <w:lang w:eastAsia="zh-CN"/>
                    </w:rPr>
                  </w:pPr>
                  <w:r>
                    <w:rPr>
                      <w:rFonts w:hint="eastAsia" w:ascii="Times New Roman" w:hAnsi="Times New Roman" w:eastAsia="宋体" w:cs="Times New Roman"/>
                      <w:b/>
                      <w:kern w:val="0"/>
                      <w:sz w:val="21"/>
                      <w:szCs w:val="21"/>
                      <w:lang w:eastAsia="zh-CN"/>
                    </w:rPr>
                    <w:t>数值</w:t>
                  </w:r>
                </w:p>
              </w:tc>
              <w:tc>
                <w:tcPr>
                  <w:tcW w:w="1657" w:type="dxa"/>
                  <w:tcBorders>
                    <w:tl2br w:val="nil"/>
                    <w:tr2bl w:val="nil"/>
                  </w:tcBorders>
                  <w:vAlign w:val="center"/>
                </w:tcPr>
                <w:p>
                  <w:pPr>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备   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820" w:type="dxa"/>
                  <w:tcBorders>
                    <w:tl2br w:val="nil"/>
                    <w:tr2bl w:val="nil"/>
                  </w:tcBorders>
                  <w:vAlign w:val="center"/>
                </w:tcPr>
                <w:p>
                  <w:pPr>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968" w:type="dxa"/>
                  <w:tcBorders>
                    <w:tl2br w:val="nil"/>
                    <w:tr2bl w:val="nil"/>
                  </w:tcBorders>
                  <w:vAlign w:val="center"/>
                </w:tcPr>
                <w:p>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总用地面积</w:t>
                  </w:r>
                </w:p>
              </w:tc>
              <w:tc>
                <w:tcPr>
                  <w:tcW w:w="888"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c>
                <w:tcPr>
                  <w:tcW w:w="1567"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spacing w:val="10"/>
                      <w:sz w:val="21"/>
                      <w:szCs w:val="21"/>
                      <w:lang w:val="en-US" w:eastAsia="zh-CN"/>
                    </w:rPr>
                    <w:t>9531.21</w:t>
                  </w:r>
                </w:p>
              </w:tc>
              <w:tc>
                <w:tcPr>
                  <w:tcW w:w="1657" w:type="dxa"/>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820" w:type="dxa"/>
                  <w:tcBorders>
                    <w:tl2br w:val="nil"/>
                    <w:tr2bl w:val="nil"/>
                  </w:tcBorders>
                  <w:vAlign w:val="center"/>
                </w:tcPr>
                <w:p>
                  <w:pPr>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2968" w:type="dxa"/>
                  <w:tcBorders>
                    <w:tl2br w:val="nil"/>
                    <w:tr2bl w:val="nil"/>
                  </w:tcBorders>
                  <w:vAlign w:val="center"/>
                </w:tcPr>
                <w:p>
                  <w:pP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总建筑面积</w:t>
                  </w:r>
                </w:p>
              </w:tc>
              <w:tc>
                <w:tcPr>
                  <w:tcW w:w="888" w:type="dxa"/>
                  <w:tcBorders>
                    <w:tl2br w:val="nil"/>
                    <w:tr2bl w:val="nil"/>
                  </w:tcBorders>
                  <w:vAlign w:val="center"/>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p>
              </w:tc>
              <w:tc>
                <w:tcPr>
                  <w:tcW w:w="1567"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sz w:val="21"/>
                      <w:szCs w:val="21"/>
                      <w:lang w:val="en-US" w:eastAsia="zh-CN"/>
                    </w:rPr>
                    <w:t>102494.871</w:t>
                  </w:r>
                </w:p>
              </w:tc>
              <w:tc>
                <w:tcPr>
                  <w:tcW w:w="1657" w:type="dxa"/>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规划容积率</w:t>
                  </w:r>
                </w:p>
              </w:tc>
              <w:tc>
                <w:tcPr>
                  <w:tcW w:w="888" w:type="dxa"/>
                  <w:tcBorders>
                    <w:tl2br w:val="nil"/>
                    <w:tr2bl w:val="nil"/>
                  </w:tcBorders>
                  <w:vAlign w:val="center"/>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w:t>
                  </w:r>
                </w:p>
              </w:tc>
              <w:tc>
                <w:tcPr>
                  <w:tcW w:w="1567"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3.920</w:t>
                  </w:r>
                </w:p>
              </w:tc>
              <w:tc>
                <w:tcPr>
                  <w:tcW w:w="1657"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实际容积率</w:t>
                  </w:r>
                </w:p>
              </w:tc>
              <w:tc>
                <w:tcPr>
                  <w:tcW w:w="888" w:type="dxa"/>
                  <w:tcBorders>
                    <w:tl2br w:val="nil"/>
                    <w:tr2bl w:val="nil"/>
                  </w:tcBorders>
                  <w:vAlign w:val="center"/>
                </w:tcPr>
                <w:p>
                  <w:pPr>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w:t>
                  </w:r>
                </w:p>
              </w:tc>
              <w:tc>
                <w:tcPr>
                  <w:tcW w:w="1567" w:type="dxa"/>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3.920</w:t>
                  </w:r>
                </w:p>
              </w:tc>
              <w:tc>
                <w:tcPr>
                  <w:tcW w:w="165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绿地率</w:t>
                  </w:r>
                </w:p>
              </w:tc>
              <w:tc>
                <w:tcPr>
                  <w:tcW w:w="888" w:type="dxa"/>
                  <w:tcBorders>
                    <w:tl2br w:val="nil"/>
                    <w:tr2bl w:val="nil"/>
                  </w:tcBorders>
                  <w:vAlign w:val="center"/>
                </w:tcPr>
                <w:p>
                  <w:pPr>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p>
              </w:tc>
              <w:tc>
                <w:tcPr>
                  <w:tcW w:w="156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65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建筑密度</w:t>
                  </w:r>
                </w:p>
              </w:tc>
              <w:tc>
                <w:tcPr>
                  <w:tcW w:w="888" w:type="dxa"/>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w:t>
                  </w:r>
                </w:p>
              </w:tc>
              <w:tc>
                <w:tcPr>
                  <w:tcW w:w="156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65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停车位</w:t>
                  </w:r>
                </w:p>
              </w:tc>
              <w:tc>
                <w:tcPr>
                  <w:tcW w:w="888" w:type="dxa"/>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eastAsia="zh-CN"/>
                    </w:rPr>
                    <w:t>个</w:t>
                  </w:r>
                </w:p>
              </w:tc>
              <w:tc>
                <w:tcPr>
                  <w:tcW w:w="156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783</w:t>
                  </w:r>
                </w:p>
              </w:tc>
              <w:tc>
                <w:tcPr>
                  <w:tcW w:w="165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户数</w:t>
                  </w:r>
                </w:p>
              </w:tc>
              <w:tc>
                <w:tcPr>
                  <w:tcW w:w="888" w:type="dxa"/>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eastAsia="zh-CN"/>
                    </w:rPr>
                    <w:t>套</w:t>
                  </w:r>
                </w:p>
              </w:tc>
              <w:tc>
                <w:tcPr>
                  <w:tcW w:w="156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786</w:t>
                  </w:r>
                </w:p>
              </w:tc>
              <w:tc>
                <w:tcPr>
                  <w:tcW w:w="165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820" w:type="dxa"/>
                  <w:tcBorders>
                    <w:tl2br w:val="nil"/>
                    <w:tr2bl w:val="nil"/>
                  </w:tcBorders>
                  <w:vAlign w:val="center"/>
                </w:tcPr>
                <w:p>
                  <w:pPr>
                    <w:jc w:val="left"/>
                    <w:rPr>
                      <w:rFonts w:hint="eastAsia" w:ascii="Times New Roman" w:hAnsi="Times New Roman" w:eastAsia="宋体" w:cs="Times New Roman"/>
                      <w:kern w:val="0"/>
                      <w:sz w:val="21"/>
                      <w:szCs w:val="21"/>
                      <w:lang w:val="en-US" w:eastAsia="zh-CN"/>
                    </w:rPr>
                  </w:pPr>
                </w:p>
              </w:tc>
              <w:tc>
                <w:tcPr>
                  <w:tcW w:w="2968" w:type="dxa"/>
                  <w:tcBorders>
                    <w:tl2br w:val="nil"/>
                    <w:tr2bl w:val="nil"/>
                  </w:tcBorders>
                  <w:vAlign w:val="center"/>
                </w:tcPr>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建筑高度</w:t>
                  </w:r>
                </w:p>
              </w:tc>
              <w:tc>
                <w:tcPr>
                  <w:tcW w:w="888" w:type="dxa"/>
                  <w:tcBorders>
                    <w:tl2br w:val="nil"/>
                    <w:tr2bl w:val="nil"/>
                  </w:tcBorders>
                  <w:vAlign w:val="center"/>
                </w:tcPr>
                <w:p>
                  <w:pPr>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层</w:t>
                  </w:r>
                </w:p>
              </w:tc>
              <w:tc>
                <w:tcPr>
                  <w:tcW w:w="156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w:t>
                  </w:r>
                </w:p>
              </w:tc>
              <w:tc>
                <w:tcPr>
                  <w:tcW w:w="1657" w:type="dxa"/>
                  <w:tcBorders>
                    <w:tl2br w:val="nil"/>
                    <w:tr2bl w:val="nil"/>
                  </w:tcBorders>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kern w:val="0"/>
                      <w:sz w:val="21"/>
                      <w:szCs w:val="21"/>
                      <w:lang w:eastAsia="zh-CN"/>
                    </w:rPr>
                    <w:t>——</w:t>
                  </w:r>
                </w:p>
              </w:tc>
            </w:tr>
          </w:tbl>
          <w:p>
            <w:pPr>
              <w:spacing w:line="360" w:lineRule="auto"/>
              <w:jc w:val="left"/>
              <w:rPr>
                <w:rFonts w:hint="default" w:ascii="Times New Roman" w:hAnsi="Times New Roman"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2" w:hRule="atLeast"/>
        </w:trPr>
        <w:tc>
          <w:tcPr>
            <w:tcW w:w="8522" w:type="dxa"/>
            <w:gridSpan w:val="2"/>
          </w:tcPr>
          <w:p>
            <w:pPr>
              <w:spacing w:line="360" w:lineRule="auto"/>
              <w:jc w:val="left"/>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实际工程量及工程变化情况，说明工程变化原因：</w:t>
            </w:r>
          </w:p>
          <w:p>
            <w:pPr>
              <w:spacing w:line="360" w:lineRule="auto"/>
              <w:ind w:firstLine="562"/>
              <w:jc w:val="left"/>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工程量无变化。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生产工艺流程（附流程图：</w:t>
            </w:r>
          </w:p>
          <w:p>
            <w:pPr>
              <w:spacing w:line="500" w:lineRule="exact"/>
              <w:ind w:firstLine="420" w:firstLineChars="200"/>
              <w:rPr>
                <w:rFonts w:hint="default" w:ascii="Times New Roman" w:hAnsi="Times New Roman" w:cs="Times New Roman"/>
                <w:color w:val="000000"/>
                <w:spacing w:val="10"/>
                <w:sz w:val="21"/>
                <w:szCs w:val="21"/>
              </w:rPr>
            </w:pPr>
            <w:r>
              <w:rPr>
                <w:rFonts w:hint="eastAsia" w:ascii="Times New Roman" w:hAnsi="Times New Roman" w:cs="Times New Roman"/>
                <w:color w:val="000000"/>
                <w:sz w:val="21"/>
                <w:szCs w:val="21"/>
                <w:lang w:eastAsia="zh-CN"/>
              </w:rPr>
              <w:t>贵州·华联城（一期）</w:t>
            </w:r>
            <w:r>
              <w:rPr>
                <w:rFonts w:hint="default" w:ascii="Times New Roman" w:hAnsi="Times New Roman" w:cs="Times New Roman"/>
                <w:color w:val="000000"/>
                <w:spacing w:val="10"/>
                <w:sz w:val="21"/>
                <w:szCs w:val="21"/>
              </w:rPr>
              <w:t>为新建房地产工程。污染影响分为施工期和营运期，其基本工序及污染工艺流程，如下图</w:t>
            </w:r>
            <w:r>
              <w:rPr>
                <w:rFonts w:hint="eastAsia" w:ascii="Times New Roman" w:hAnsi="Times New Roman" w:cs="Times New Roman"/>
                <w:color w:val="000000"/>
                <w:spacing w:val="10"/>
                <w:sz w:val="21"/>
                <w:szCs w:val="21"/>
                <w:lang w:val="en-US" w:eastAsia="zh-CN"/>
              </w:rPr>
              <w:t>4</w:t>
            </w:r>
            <w:r>
              <w:rPr>
                <w:rFonts w:hint="default" w:ascii="Times New Roman" w:hAnsi="Times New Roman" w:cs="Times New Roman"/>
                <w:color w:val="000000"/>
                <w:spacing w:val="10"/>
                <w:sz w:val="21"/>
                <w:szCs w:val="21"/>
              </w:rPr>
              <w:t>-</w:t>
            </w:r>
            <w:r>
              <w:rPr>
                <w:rFonts w:hint="eastAsia" w:ascii="Times New Roman" w:hAnsi="Times New Roman" w:cs="Times New Roman"/>
                <w:color w:val="000000"/>
                <w:spacing w:val="10"/>
                <w:sz w:val="21"/>
                <w:szCs w:val="21"/>
                <w:lang w:val="en-US" w:eastAsia="zh-CN"/>
              </w:rPr>
              <w:t>2</w:t>
            </w:r>
            <w:r>
              <w:rPr>
                <w:rFonts w:hint="default" w:ascii="Times New Roman" w:hAnsi="Times New Roman" w:cs="Times New Roman"/>
                <w:color w:val="000000"/>
                <w:spacing w:val="10"/>
                <w:sz w:val="21"/>
                <w:szCs w:val="21"/>
              </w:rPr>
              <w:t>所示：</w:t>
            </w:r>
          </w:p>
          <w:p>
            <w:pPr>
              <w:shd w:val="clear" w:fill="FFFFFF"/>
              <w:spacing w:line="240" w:lineRule="atLeast"/>
              <w:ind w:firstLine="840" w:firstLineChars="400"/>
              <w:rPr>
                <w:rFonts w:hint="default" w:ascii="Times New Roman" w:hAnsi="Times New Roman" w:cs="Times New Roman"/>
                <w:color w:val="000000"/>
                <w:sz w:val="21"/>
                <w:szCs w:val="21"/>
                <w:bdr w:val="single" w:color="auto" w:sz="4" w:space="0"/>
                <w:shd w:val="pct10" w:color="auto" w:fill="FFFFFF"/>
              </w:rPr>
            </w:pPr>
            <w:r>
              <w:rPr>
                <w:rFonts w:hint="default" w:ascii="Times New Roman" w:hAnsi="Times New Roman" w:cs="Times New Roman"/>
                <w:color w:val="000000"/>
                <w:sz w:val="21"/>
                <w:szCs w:val="21"/>
                <w:bdr w:val="single" w:color="auto" w:sz="4" w:space="0"/>
                <w:shd w:val="clear" w:color="auto" w:fill="FFFFFF"/>
              </w:rPr>
              <w:t>基础工程</w:t>
            </w:r>
            <w:r>
              <w:rPr>
                <w:rFonts w:hint="default" w:ascii="Times New Roman" w:hAnsi="Times New Roman" w:cs="Times New Roman"/>
                <w:color w:val="000000"/>
                <w:sz w:val="21"/>
                <w:szCs w:val="21"/>
                <w:shd w:val="clear" w:fill="FFFFFF" w:themeFill="background1"/>
              </w:rPr>
              <w:t>→</w:t>
            </w:r>
            <w:r>
              <w:rPr>
                <w:rFonts w:hint="default" w:ascii="Times New Roman" w:hAnsi="Times New Roman" w:cs="Times New Roman"/>
                <w:color w:val="000000"/>
                <w:sz w:val="21"/>
                <w:szCs w:val="21"/>
                <w:bdr w:val="single" w:color="auto" w:sz="4" w:space="0"/>
                <w:shd w:val="clear" w:color="auto" w:fill="FFFFFF"/>
              </w:rPr>
              <w:t>主体工程</w:t>
            </w:r>
            <w:r>
              <w:rPr>
                <w:rFonts w:hint="default" w:ascii="Times New Roman" w:hAnsi="Times New Roman" w:cs="Times New Roman"/>
                <w:color w:val="000000"/>
                <w:sz w:val="21"/>
                <w:szCs w:val="21"/>
                <w:shd w:val="clear" w:fill="FFFFFF" w:themeFill="background1"/>
              </w:rPr>
              <w:t>→</w:t>
            </w:r>
            <w:r>
              <w:rPr>
                <w:rFonts w:hint="default" w:ascii="Times New Roman" w:hAnsi="Times New Roman" w:cs="Times New Roman"/>
                <w:color w:val="000000"/>
                <w:sz w:val="21"/>
                <w:szCs w:val="21"/>
                <w:bdr w:val="single" w:color="auto" w:sz="4" w:space="0"/>
                <w:shd w:val="clear" w:color="auto" w:fill="FFFFFF"/>
              </w:rPr>
              <w:t>装饰工程</w:t>
            </w:r>
            <w:r>
              <w:rPr>
                <w:rFonts w:hint="default" w:ascii="Times New Roman" w:hAnsi="Times New Roman" w:cs="Times New Roman"/>
                <w:color w:val="000000"/>
                <w:sz w:val="21"/>
                <w:szCs w:val="21"/>
                <w:shd w:val="clear" w:fill="FFFFFF" w:themeFill="background1"/>
              </w:rPr>
              <w:t>→</w:t>
            </w:r>
            <w:r>
              <w:rPr>
                <w:rFonts w:hint="default" w:ascii="Times New Roman" w:hAnsi="Times New Roman" w:cs="Times New Roman"/>
                <w:color w:val="000000"/>
                <w:sz w:val="21"/>
                <w:szCs w:val="21"/>
                <w:bdr w:val="single" w:color="auto" w:sz="4" w:space="0"/>
                <w:shd w:val="clear" w:color="auto" w:fill="FFFFFF"/>
              </w:rPr>
              <w:t>设备安装</w:t>
            </w:r>
            <w:r>
              <w:rPr>
                <w:rFonts w:hint="default" w:ascii="Times New Roman" w:hAnsi="Times New Roman" w:cs="Times New Roman"/>
                <w:color w:val="000000"/>
                <w:sz w:val="21"/>
                <w:szCs w:val="21"/>
                <w:shd w:val="clear" w:fill="FFFFFF" w:themeFill="background1"/>
              </w:rPr>
              <w:t>→</w:t>
            </w:r>
            <w:r>
              <w:rPr>
                <w:rFonts w:hint="default" w:ascii="Times New Roman" w:hAnsi="Times New Roman" w:cs="Times New Roman"/>
                <w:color w:val="000000"/>
                <w:sz w:val="21"/>
                <w:szCs w:val="21"/>
                <w:bdr w:val="single" w:color="auto" w:sz="4" w:space="0"/>
                <w:shd w:val="clear" w:color="auto" w:fill="FFFFFF"/>
              </w:rPr>
              <w:t>工程验收</w:t>
            </w:r>
            <w:r>
              <w:rPr>
                <w:rFonts w:hint="default" w:ascii="Times New Roman" w:hAnsi="Times New Roman" w:cs="Times New Roman"/>
                <w:color w:val="000000"/>
                <w:sz w:val="21"/>
                <w:szCs w:val="21"/>
                <w:shd w:val="clear" w:fill="FFFFFF" w:themeFill="background1"/>
              </w:rPr>
              <w:t>→</w:t>
            </w:r>
            <w:r>
              <w:rPr>
                <w:rFonts w:hint="default" w:ascii="Times New Roman" w:hAnsi="Times New Roman" w:cs="Times New Roman"/>
                <w:color w:val="000000"/>
                <w:sz w:val="21"/>
                <w:szCs w:val="21"/>
                <w:bdr w:val="single" w:color="auto" w:sz="4" w:space="0"/>
                <w:shd w:val="clear" w:color="auto" w:fill="FFFFFF"/>
              </w:rPr>
              <w:t>运行使用</w:t>
            </w:r>
          </w:p>
          <w:p>
            <w:pPr>
              <w:spacing w:before="156" w:beforeLines="50" w:after="156" w:afterLines="50"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施工期、营运期工艺流程图</w:t>
            </w:r>
          </w:p>
          <w:p>
            <w:pPr>
              <w:spacing w:line="240" w:lineRule="atLeast"/>
              <w:ind w:firstLine="1247" w:firstLineChars="594"/>
              <w:rPr>
                <w:rFonts w:hint="default" w:ascii="Times New Roman" w:hAnsi="Times New Roman" w:cs="Times New Roman"/>
                <w:i/>
                <w:iCs/>
                <w:color w:val="000000"/>
                <w:sz w:val="21"/>
                <w:szCs w:val="21"/>
                <w:bdr w:val="single" w:color="auto" w:sz="4" w:space="0"/>
                <w:shd w:val="pct10" w:color="auto" w:fill="FFFFFF"/>
              </w:rPr>
            </w:pP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5040" behindDoc="0" locked="0" layoutInCell="1" allowOverlap="1">
                      <wp:simplePos x="0" y="0"/>
                      <wp:positionH relativeFrom="column">
                        <wp:posOffset>4589780</wp:posOffset>
                      </wp:positionH>
                      <wp:positionV relativeFrom="paragraph">
                        <wp:posOffset>346710</wp:posOffset>
                      </wp:positionV>
                      <wp:extent cx="0" cy="542925"/>
                      <wp:effectExtent l="25400" t="0" r="31750" b="9525"/>
                      <wp:wrapNone/>
                      <wp:docPr id="8" name="直线 2"/>
                      <wp:cNvGraphicFramePr/>
                      <a:graphic xmlns:a="http://schemas.openxmlformats.org/drawingml/2006/main">
                        <a:graphicData uri="http://schemas.microsoft.com/office/word/2010/wordprocessingShape">
                          <wps:wsp>
                            <wps:cNvCnPr/>
                            <wps:spPr>
                              <a:xfrm flipV="1">
                                <a:off x="0" y="0"/>
                                <a:ext cx="0" cy="54292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2" o:spid="_x0000_s1026" o:spt="20" style="position:absolute;left:0pt;flip:y;margin-left:361.4pt;margin-top:27.3pt;height:42.75pt;width:0pt;z-index:251735040;mso-width-relative:page;mso-height-relative:page;" filled="f" stroked="t" coordsize="21600,21600" o:gfxdata="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Z9XNk2QAAAAoBAAAPAAAA&#10;AAAAAAEAIAAAACIAAABkcnMvZG93bnJldi54bWxQSwECFAAUAAAACACHTuJA5F6oD9sBAACYAwAA&#10;DgAAAAAAAAABACAAAAAoAQAAZHJzL2Uyb0RvYy54bWxQSwUGAAAAAAYABgBZAQAAdQU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2992" behindDoc="0" locked="0" layoutInCell="1" allowOverlap="1">
                      <wp:simplePos x="0" y="0"/>
                      <wp:positionH relativeFrom="column">
                        <wp:posOffset>3094355</wp:posOffset>
                      </wp:positionH>
                      <wp:positionV relativeFrom="paragraph">
                        <wp:posOffset>318135</wp:posOffset>
                      </wp:positionV>
                      <wp:extent cx="0" cy="563245"/>
                      <wp:effectExtent l="25400" t="0" r="31750" b="8255"/>
                      <wp:wrapNone/>
                      <wp:docPr id="14" name="直线 3"/>
                      <wp:cNvGraphicFramePr/>
                      <a:graphic xmlns:a="http://schemas.openxmlformats.org/drawingml/2006/main">
                        <a:graphicData uri="http://schemas.microsoft.com/office/word/2010/wordprocessingShape">
                          <wps:wsp>
                            <wps:cNvCnPr/>
                            <wps:spPr>
                              <a:xfrm flipV="1">
                                <a:off x="0" y="0"/>
                                <a:ext cx="0" cy="56324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3" o:spid="_x0000_s1026" o:spt="20" style="position:absolute;left:0pt;flip:y;margin-left:243.65pt;margin-top:25.05pt;height:44.35pt;width:0pt;z-index:251732992;mso-width-relative:page;mso-height-relative:page;" filled="f" stroked="t" coordsize="21600,21600" o:gfxdata="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KsbBY2QAAAAoBAAAP&#10;AAAAAAAAAAEAIAAAACIAAABkcnMvZG93bnJldi54bWxQSwECFAAUAAAACACHTuJAGkcQsN4BAACZ&#10;AwAADgAAAAAAAAABACAAAAAoAQAAZHJzL2Uyb0RvYy54bWxQSwUGAAAAAAYABgBZAQAAeAU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0944" behindDoc="0" locked="0" layoutInCell="1" allowOverlap="1">
                      <wp:simplePos x="0" y="0"/>
                      <wp:positionH relativeFrom="column">
                        <wp:posOffset>1541780</wp:posOffset>
                      </wp:positionH>
                      <wp:positionV relativeFrom="paragraph">
                        <wp:posOffset>337185</wp:posOffset>
                      </wp:positionV>
                      <wp:extent cx="9525" cy="534670"/>
                      <wp:effectExtent l="22860" t="0" r="24765" b="17780"/>
                      <wp:wrapNone/>
                      <wp:docPr id="12" name="直线 4"/>
                      <wp:cNvGraphicFramePr/>
                      <a:graphic xmlns:a="http://schemas.openxmlformats.org/drawingml/2006/main">
                        <a:graphicData uri="http://schemas.microsoft.com/office/word/2010/wordprocessingShape">
                          <wps:wsp>
                            <wps:cNvCnPr/>
                            <wps:spPr>
                              <a:xfrm flipH="1" flipV="1">
                                <a:off x="0" y="0"/>
                                <a:ext cx="9525" cy="534670"/>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4" o:spid="_x0000_s1026" o:spt="20" style="position:absolute;left:0pt;flip:x y;margin-left:121.4pt;margin-top:26.55pt;height:42.1pt;width:0.75pt;z-index:251730944;mso-width-relative:page;mso-height-relative:page;" filled="f" stroked="t" coordsize="21600,21600" o:gfxdata="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3h84bZ&#10;AAAACgEAAA8AAAAAAAAAAQAgAAAAIgAAAGRycy9kb3ducmV2LnhtbFBLAQIUABQAAAAIAIdO4kCJ&#10;0e6c5gEAAKYDAAAOAAAAAAAAAAEAIAAAACgBAABkcnMvZTJvRG9jLnhtbFBLBQYAAAAABgAGAFkB&#10;AACABQ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w:t>噪声、扬尘、装修废气</w:t>
            </w:r>
            <w:r>
              <w:rPr>
                <w:rFonts w:hint="default" w:ascii="Times New Roman" w:hAnsi="Times New Roman" w:cs="Times New Roman"/>
                <w:i/>
                <w:iCs/>
                <w:color w:val="000000"/>
                <w:sz w:val="21"/>
                <w:szCs w:val="21"/>
              </w:rPr>
              <w:t xml:space="preserve">    </w:t>
            </w:r>
            <w:r>
              <w:rPr>
                <w:rFonts w:hint="default" w:ascii="Times New Roman" w:hAnsi="Times New Roman" w:cs="Times New Roman"/>
                <w:color w:val="000000"/>
                <w:sz w:val="21"/>
                <w:szCs w:val="21"/>
                <w:bdr w:val="single" w:color="auto" w:sz="4" w:space="0"/>
                <w:shd w:val="clear" w:color="auto" w:fill="FFFFFF"/>
              </w:rPr>
              <w:t>噪声、固体废弃物</w:t>
            </w:r>
            <w:r>
              <w:rPr>
                <w:rFonts w:hint="default" w:ascii="Times New Roman" w:hAnsi="Times New Roman" w:cs="Times New Roman"/>
                <w:i/>
                <w:iCs/>
                <w:color w:val="000000"/>
                <w:sz w:val="21"/>
                <w:szCs w:val="21"/>
              </w:rPr>
              <w:t xml:space="preserve"> </w:t>
            </w:r>
            <w:r>
              <w:rPr>
                <w:rFonts w:hint="eastAsia" w:ascii="Times New Roman" w:hAnsi="Times New Roman" w:cs="Times New Roman"/>
                <w:i/>
                <w:iCs/>
                <w:color w:val="000000"/>
                <w:sz w:val="21"/>
                <w:szCs w:val="21"/>
                <w:lang w:val="en-US" w:eastAsia="zh-CN"/>
              </w:rPr>
              <w:t xml:space="preserve"> </w:t>
            </w:r>
            <w:r>
              <w:rPr>
                <w:rFonts w:hint="default" w:ascii="Times New Roman" w:hAnsi="Times New Roman" w:cs="Times New Roman"/>
                <w:i/>
                <w:iCs/>
                <w:color w:val="000000"/>
                <w:sz w:val="21"/>
                <w:szCs w:val="21"/>
              </w:rPr>
              <w:t xml:space="preserve">  </w:t>
            </w:r>
            <w:r>
              <w:rPr>
                <w:rFonts w:hint="default" w:ascii="Times New Roman" w:hAnsi="Times New Roman" w:cs="Times New Roman"/>
                <w:color w:val="000000"/>
                <w:sz w:val="21"/>
                <w:szCs w:val="21"/>
                <w:bdr w:val="single" w:color="auto" w:sz="4" w:space="0"/>
                <w:shd w:val="clear" w:color="auto" w:fill="FFFFFF"/>
              </w:rPr>
              <w:t>噪声、废气</w:t>
            </w:r>
          </w:p>
          <w:p>
            <w:pPr>
              <w:spacing w:line="240" w:lineRule="atLeast"/>
              <w:jc w:val="center"/>
              <w:rPr>
                <w:rFonts w:hint="default" w:ascii="Times New Roman" w:hAnsi="Times New Roman" w:cs="Times New Roman"/>
                <w:color w:val="000000"/>
                <w:sz w:val="21"/>
                <w:szCs w:val="21"/>
                <w:bdr w:val="single" w:color="auto" w:sz="4" w:space="0"/>
                <w:shd w:val="pct10" w:color="auto" w:fill="FFFFFF"/>
              </w:rPr>
            </w:pPr>
            <w:r>
              <w:rPr>
                <w:rFonts w:hint="default" w:ascii="Times New Roman" w:hAnsi="Times New Roman" w:cs="Times New Roman"/>
                <w:b/>
                <w:bCs/>
                <w:color w:val="000000"/>
                <w:sz w:val="21"/>
                <w:szCs w:val="21"/>
              </w:rPr>
              <mc:AlternateContent>
                <mc:Choice Requires="wps">
                  <w:drawing>
                    <wp:anchor distT="0" distB="0" distL="114300" distR="114300" simplePos="0" relativeHeight="251731968" behindDoc="0" locked="0" layoutInCell="1" allowOverlap="1">
                      <wp:simplePos x="0" y="0"/>
                      <wp:positionH relativeFrom="column">
                        <wp:posOffset>2246630</wp:posOffset>
                      </wp:positionH>
                      <wp:positionV relativeFrom="paragraph">
                        <wp:posOffset>121920</wp:posOffset>
                      </wp:positionV>
                      <wp:extent cx="0" cy="352425"/>
                      <wp:effectExtent l="25400" t="0" r="31750" b="9525"/>
                      <wp:wrapNone/>
                      <wp:docPr id="10" name="直线 6"/>
                      <wp:cNvGraphicFramePr/>
                      <a:graphic xmlns:a="http://schemas.openxmlformats.org/drawingml/2006/main">
                        <a:graphicData uri="http://schemas.microsoft.com/office/word/2010/wordprocessingShape">
                          <wps:wsp>
                            <wps:cNvCnPr/>
                            <wps:spPr>
                              <a:xfrm flipV="1">
                                <a:off x="0" y="0"/>
                                <a:ext cx="0" cy="35242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6" o:spid="_x0000_s1026" o:spt="20" style="position:absolute;left:0pt;flip:y;margin-left:176.9pt;margin-top:9.6pt;height:27.75pt;width:0pt;z-index:251731968;mso-width-relative:page;mso-height-relative:page;" filled="f" stroked="t" coordsize="21600,21600" o:gfxdata="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IgKJ2AAAAAkBAAAPAAAA&#10;AAAAAAEAIAAAACIAAABkcnMvZG93bnJldi54bWxQSwECFAAUAAAACACHTuJAKXMhs9wBAACZAwAA&#10;DgAAAAAAAAABACAAAAAnAQAAZHJzL2Uyb0RvYy54bWxQSwUGAAAAAAYABgBZAQAAdQU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b/>
                <w:bCs/>
                <w:color w:val="000000"/>
                <w:sz w:val="21"/>
                <w:szCs w:val="21"/>
              </w:rPr>
              <mc:AlternateContent>
                <mc:Choice Requires="wps">
                  <w:drawing>
                    <wp:anchor distT="0" distB="0" distL="114300" distR="114300" simplePos="0" relativeHeight="251734016" behindDoc="0" locked="0" layoutInCell="1" allowOverlap="1">
                      <wp:simplePos x="0" y="0"/>
                      <wp:positionH relativeFrom="column">
                        <wp:posOffset>663575</wp:posOffset>
                      </wp:positionH>
                      <wp:positionV relativeFrom="paragraph">
                        <wp:posOffset>102235</wp:posOffset>
                      </wp:positionV>
                      <wp:extent cx="1592580" cy="635"/>
                      <wp:effectExtent l="0" t="0" r="0" b="0"/>
                      <wp:wrapNone/>
                      <wp:docPr id="13" name="直线 5"/>
                      <wp:cNvGraphicFramePr/>
                      <a:graphic xmlns:a="http://schemas.openxmlformats.org/drawingml/2006/main">
                        <a:graphicData uri="http://schemas.microsoft.com/office/word/2010/wordprocessingShape">
                          <wps:wsp>
                            <wps:cNvCnPr/>
                            <wps:spPr>
                              <a:xfrm>
                                <a:off x="0" y="0"/>
                                <a:ext cx="1592580" cy="635"/>
                              </a:xfrm>
                              <a:prstGeom prst="line">
                                <a:avLst/>
                              </a:prstGeom>
                              <a:ln w="9525" cap="flat" cmpd="sng">
                                <a:solidFill>
                                  <a:srgbClr val="000000"/>
                                </a:solidFill>
                                <a:prstDash val="sysDot"/>
                                <a:headEnd type="none" w="med" len="med"/>
                                <a:tailEnd type="none" w="med" len="med"/>
                              </a:ln>
                            </wps:spPr>
                            <wps:bodyPr upright="1"/>
                          </wps:wsp>
                        </a:graphicData>
                      </a:graphic>
                    </wp:anchor>
                  </w:drawing>
                </mc:Choice>
                <mc:Fallback>
                  <w:pict>
                    <v:line id="直线 5" o:spid="_x0000_s1026" o:spt="20" style="position:absolute;left:0pt;margin-left:52.25pt;margin-top:8.05pt;height:0.05pt;width:125.4pt;z-index:251734016;mso-width-relative:page;mso-height-relative:page;" filled="f" stroked="t" coordsize="21600,21600" o:gfxdata="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HmOq1wAAAAkBAAAPAAAAAAAAAAEAIAAA&#10;ACIAAABkcnMvZG93bnJldi54bWxQSwECFAAUAAAACACHTuJACcO99NQBAACRAwAADgAAAAAAAAAB&#10;ACAAAAAmAQAAZHJzL2Uyb0RvYy54bWxQSwUGAAAAAAYABgBZAQAAbAUAAAAA&#10;">
                      <v:fill on="f" focussize="0,0"/>
                      <v:stroke color="#000000" joinstyle="round" dashstyle="1 1"/>
                      <v:imagedata o:title=""/>
                      <o:lock v:ext="edit" aspectratio="f"/>
                    </v:line>
                  </w:pict>
                </mc:Fallback>
              </mc:AlternateContent>
            </w:r>
            <w:r>
              <w:rPr>
                <w:rFonts w:hint="default" w:ascii="Times New Roman" w:hAnsi="Times New Roman" w:cs="Times New Roman"/>
                <w:color w:val="000000"/>
                <w:sz w:val="21"/>
                <w:szCs w:val="21"/>
              </w:rPr>
              <mc:AlternateContent>
                <mc:Choice Requires="wps">
                  <w:drawing>
                    <wp:anchor distT="0" distB="0" distL="114300" distR="114300" simplePos="0" relativeHeight="251729920" behindDoc="0" locked="0" layoutInCell="1" allowOverlap="1">
                      <wp:simplePos x="0" y="0"/>
                      <wp:positionH relativeFrom="column">
                        <wp:posOffset>627380</wp:posOffset>
                      </wp:positionH>
                      <wp:positionV relativeFrom="paragraph">
                        <wp:posOffset>96520</wp:posOffset>
                      </wp:positionV>
                      <wp:extent cx="18415" cy="398145"/>
                      <wp:effectExtent l="12700" t="0" r="26035" b="1905"/>
                      <wp:wrapNone/>
                      <wp:docPr id="11" name="直线 7"/>
                      <wp:cNvGraphicFramePr/>
                      <a:graphic xmlns:a="http://schemas.openxmlformats.org/drawingml/2006/main">
                        <a:graphicData uri="http://schemas.microsoft.com/office/word/2010/wordprocessingShape">
                          <wps:wsp>
                            <wps:cNvCnPr/>
                            <wps:spPr>
                              <a:xfrm flipV="1">
                                <a:off x="0" y="0"/>
                                <a:ext cx="18415" cy="39814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7" o:spid="_x0000_s1026" o:spt="20" style="position:absolute;left:0pt;flip:y;margin-left:49.4pt;margin-top:7.6pt;height:31.35pt;width:1.45pt;z-index:251729920;mso-width-relative:page;mso-height-relative:page;" filled="f" stroked="t" coordsize="21600,21600" o:gfxdata="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95YYDZAAAA&#10;CAEAAA8AAAAAAAAAAQAgAAAAIgAAAGRycy9kb3ducmV2LnhtbFBLAQIUABQAAAAIAIdO4kDZN6p3&#10;4wEAAJ0DAAAOAAAAAAAAAAEAIAAAACgBAABkcnMvZTJvRG9jLnhtbFBLBQYAAAAABgAGAFkBAAB9&#10;BQAAAAA=&#10;">
                      <v:fill on="f" focussize="0,0"/>
                      <v:stroke color="#000000" joinstyle="round" dashstyle="1 1" endarrow="classic" endarrowwidth="narrow" endarrowlength="long"/>
                      <v:imagedata o:title=""/>
                      <o:lock v:ext="edit" aspectratio="f"/>
                    </v:line>
                  </w:pict>
                </mc:Fallback>
              </mc:AlternateContent>
            </w:r>
          </w:p>
          <w:p>
            <w:pPr>
              <w:spacing w:line="240" w:lineRule="atLeast"/>
              <w:jc w:val="center"/>
              <w:rPr>
                <w:rFonts w:hint="default" w:ascii="Times New Roman" w:hAnsi="Times New Roman" w:cs="Times New Roman"/>
                <w:color w:val="000000"/>
                <w:sz w:val="21"/>
                <w:szCs w:val="21"/>
                <w:bdr w:val="single" w:color="auto" w:sz="4" w:space="0"/>
                <w:shd w:val="pct10" w:color="auto" w:fill="FFFFFF"/>
              </w:rPr>
            </w:pPr>
          </w:p>
          <w:p>
            <w:pPr>
              <w:spacing w:line="240" w:lineRule="atLeast"/>
              <w:jc w:val="center"/>
              <w:rPr>
                <w:rFonts w:hint="default" w:ascii="Times New Roman" w:hAnsi="Times New Roman" w:cs="Times New Roman"/>
                <w:color w:val="000000"/>
                <w:sz w:val="21"/>
                <w:szCs w:val="21"/>
                <w:bdr w:val="single" w:color="auto" w:sz="4" w:space="0"/>
                <w:shd w:val="pct10" w:color="auto" w:fill="FFFFFF"/>
              </w:rPr>
            </w:pP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7088" behindDoc="0" locked="0" layoutInCell="1" allowOverlap="1">
                      <wp:simplePos x="0" y="0"/>
                      <wp:positionH relativeFrom="column">
                        <wp:posOffset>3770630</wp:posOffset>
                      </wp:positionH>
                      <wp:positionV relativeFrom="paragraph">
                        <wp:posOffset>325755</wp:posOffset>
                      </wp:positionV>
                      <wp:extent cx="0" cy="382270"/>
                      <wp:effectExtent l="25400" t="0" r="31750" b="17780"/>
                      <wp:wrapNone/>
                      <wp:docPr id="18" name="直线 12"/>
                      <wp:cNvGraphicFramePr/>
                      <a:graphic xmlns:a="http://schemas.openxmlformats.org/drawingml/2006/main">
                        <a:graphicData uri="http://schemas.microsoft.com/office/word/2010/wordprocessingShape">
                          <wps:wsp>
                            <wps:cNvCnPr/>
                            <wps:spPr>
                              <a:xfrm flipV="1">
                                <a:off x="0" y="0"/>
                                <a:ext cx="0" cy="382270"/>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2" o:spid="_x0000_s1026" o:spt="20" style="position:absolute;left:0pt;flip:y;margin-left:296.9pt;margin-top:25.65pt;height:30.1pt;width:0pt;z-index:251737088;mso-width-relative:page;mso-height-relative:page;" filled="f" stroked="t" coordsize="21600,21600" o:gfxdata="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zSUgtYAAAAKAQAADwAA&#10;AAAAAAABACAAAAAiAAAAZHJzL2Rvd25yZXYueG1sUEsBAhQAFAAAAAgAh07iQKsJVJzfAQAAmgMA&#10;AA4AAAAAAAAAAQAgAAAAJQEAAGRycy9lMm9Eb2MueG1sUEsFBgAAAAAGAAYAWQEAAHYFAAA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8112" behindDoc="0" locked="0" layoutInCell="1" allowOverlap="1">
                      <wp:simplePos x="0" y="0"/>
                      <wp:positionH relativeFrom="column">
                        <wp:posOffset>1522730</wp:posOffset>
                      </wp:positionH>
                      <wp:positionV relativeFrom="paragraph">
                        <wp:posOffset>319405</wp:posOffset>
                      </wp:positionV>
                      <wp:extent cx="9525" cy="358775"/>
                      <wp:effectExtent l="19050" t="0" r="28575" b="3175"/>
                      <wp:wrapNone/>
                      <wp:docPr id="17" name="直线 11"/>
                      <wp:cNvGraphicFramePr/>
                      <a:graphic xmlns:a="http://schemas.openxmlformats.org/drawingml/2006/main">
                        <a:graphicData uri="http://schemas.microsoft.com/office/word/2010/wordprocessingShape">
                          <wps:wsp>
                            <wps:cNvCnPr/>
                            <wps:spPr>
                              <a:xfrm flipH="1" flipV="1">
                                <a:off x="0" y="0"/>
                                <a:ext cx="9525" cy="35877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1" o:spid="_x0000_s1026" o:spt="20" style="position:absolute;left:0pt;flip:x y;margin-left:119.9pt;margin-top:25.15pt;height:28.25pt;width:0.75pt;z-index:251738112;mso-width-relative:page;mso-height-relative:page;" filled="f" stroked="t" coordsize="21600,21600" o:gfxdata="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TgDPXWAAAACgEA&#10;AA8AAAAAAAAAAQAgAAAAIgAAAGRycy9kb3ducmV2LnhtbFBLAQIUABQAAAAIAIdO4kBEgeYN4wEA&#10;AKcDAAAOAAAAAAAAAAEAIAAAACUBAABkcnMvZTJvRG9jLnhtbFBLBQYAAAAABgAGAFkBAAB6BQAA&#10;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9136" behindDoc="0" locked="0" layoutInCell="1" allowOverlap="1">
                      <wp:simplePos x="0" y="0"/>
                      <wp:positionH relativeFrom="column">
                        <wp:posOffset>2941955</wp:posOffset>
                      </wp:positionH>
                      <wp:positionV relativeFrom="paragraph">
                        <wp:posOffset>315595</wp:posOffset>
                      </wp:positionV>
                      <wp:extent cx="0" cy="401955"/>
                      <wp:effectExtent l="25400" t="0" r="31750" b="17145"/>
                      <wp:wrapNone/>
                      <wp:docPr id="16" name="直线 10"/>
                      <wp:cNvGraphicFramePr/>
                      <a:graphic xmlns:a="http://schemas.openxmlformats.org/drawingml/2006/main">
                        <a:graphicData uri="http://schemas.microsoft.com/office/word/2010/wordprocessingShape">
                          <wps:wsp>
                            <wps:cNvCnPr/>
                            <wps:spPr>
                              <a:xfrm flipV="1">
                                <a:off x="0" y="0"/>
                                <a:ext cx="0" cy="40195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0" o:spid="_x0000_s1026" o:spt="20" style="position:absolute;left:0pt;flip:y;margin-left:231.65pt;margin-top:24.85pt;height:31.65pt;width:0pt;z-index:251739136;mso-width-relative:page;mso-height-relative:page;" filled="f" stroked="t" coordsize="21600,21600" o:gfxdata="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QegFL1QAAAAoBAAAPAAAAAAAA&#10;AAEAIAAAACIAAABkcnMvZG93bnJldi54bWxQSwECFAAUAAAACACHTuJAlTRcSdwBAACaAwAADgAA&#10;AAAAAAABACAAAAAkAQAAZHJzL2Uyb0RvYy54bWxQSwUGAAAAAAYABgBZAQAAcgUAA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42208" behindDoc="0" locked="0" layoutInCell="1" allowOverlap="1">
                      <wp:simplePos x="0" y="0"/>
                      <wp:positionH relativeFrom="column">
                        <wp:posOffset>4551680</wp:posOffset>
                      </wp:positionH>
                      <wp:positionV relativeFrom="paragraph">
                        <wp:posOffset>298450</wp:posOffset>
                      </wp:positionV>
                      <wp:extent cx="8890" cy="569595"/>
                      <wp:effectExtent l="23495" t="0" r="24765" b="1905"/>
                      <wp:wrapNone/>
                      <wp:docPr id="9" name="直线 8"/>
                      <wp:cNvGraphicFramePr/>
                      <a:graphic xmlns:a="http://schemas.openxmlformats.org/drawingml/2006/main">
                        <a:graphicData uri="http://schemas.microsoft.com/office/word/2010/wordprocessingShape">
                          <wps:wsp>
                            <wps:cNvCnPr/>
                            <wps:spPr>
                              <a:xfrm flipH="1">
                                <a:off x="0" y="0"/>
                                <a:ext cx="8890" cy="569595"/>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8" o:spid="_x0000_s1026" o:spt="20" style="position:absolute;left:0pt;flip:x;margin-left:358.4pt;margin-top:23.5pt;height:44.85pt;width:0.7pt;z-index:251742208;mso-width-relative:page;mso-height-relative:page;" filled="f" stroked="t" coordsize="21600,21600" o:gfxdata="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paIe2gAAAAoB&#10;AAAPAAAAAAAAAAEAIAAAACIAAABkcnMvZG93bnJldi54bWxQSwECFAAUAAAACACHTuJAZcsaceAB&#10;AACbAwAADgAAAAAAAAABACAAAAApAQAAZHJzL2Uyb0RvYy54bWxQSwUGAAAAAAYABgBZAQAAewUA&#10;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41184" behindDoc="0" locked="0" layoutInCell="1" allowOverlap="1">
                      <wp:simplePos x="0" y="0"/>
                      <wp:positionH relativeFrom="column">
                        <wp:posOffset>2223135</wp:posOffset>
                      </wp:positionH>
                      <wp:positionV relativeFrom="paragraph">
                        <wp:posOffset>290830</wp:posOffset>
                      </wp:positionV>
                      <wp:extent cx="3175" cy="551180"/>
                      <wp:effectExtent l="24765" t="0" r="29210" b="1270"/>
                      <wp:wrapNone/>
                      <wp:docPr id="15" name="直线 9"/>
                      <wp:cNvGraphicFramePr/>
                      <a:graphic xmlns:a="http://schemas.openxmlformats.org/drawingml/2006/main">
                        <a:graphicData uri="http://schemas.microsoft.com/office/word/2010/wordprocessingShape">
                          <wps:wsp>
                            <wps:cNvCnPr/>
                            <wps:spPr>
                              <a:xfrm flipH="1">
                                <a:off x="0" y="0"/>
                                <a:ext cx="3175" cy="551180"/>
                              </a:xfrm>
                              <a:prstGeom prst="line">
                                <a:avLst/>
                              </a:prstGeom>
                              <a:ln w="9525" cap="flat" cmpd="sng">
                                <a:solidFill>
                                  <a:srgbClr val="000000"/>
                                </a:solidFill>
                                <a:prstDash val="sysDot"/>
                                <a:headEnd type="none" w="med" len="med"/>
                                <a:tailEnd type="stealth" w="sm" len="lg"/>
                              </a:ln>
                            </wps:spPr>
                            <wps:bodyPr upright="1"/>
                          </wps:wsp>
                        </a:graphicData>
                      </a:graphic>
                    </wp:anchor>
                  </w:drawing>
                </mc:Choice>
                <mc:Fallback>
                  <w:pict>
                    <v:line id="直线 9" o:spid="_x0000_s1026" o:spt="20" style="position:absolute;left:0pt;flip:x;margin-left:175.05pt;margin-top:22.9pt;height:43.4pt;width:0.25pt;z-index:251741184;mso-width-relative:page;mso-height-relative:page;" filled="f" stroked="t" coordsize="21600,21600" o:gfxdata="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j6aFdgAAAAK&#10;AQAADwAAAAAAAAABACAAAAAiAAAAZHJzL2Rvd25yZXYueG1sUEsBAhQAFAAAAAgAh07iQPBb9Xzj&#10;AQAAnAMAAA4AAAAAAAAAAQAgAAAAJwEAAGRycy9lMm9Eb2MueG1sUEsFBgAAAAAGAAYAWQEAAHwF&#10;AAAAAA==&#10;">
                      <v:fill on="f" focussize="0,0"/>
                      <v:stroke color="#000000" joinstyle="round" dashstyle="1 1" endarrow="classic" endarrowwidth="narrow" end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36064" behindDoc="0" locked="0" layoutInCell="1" allowOverlap="1">
                      <wp:simplePos x="0" y="0"/>
                      <wp:positionH relativeFrom="column">
                        <wp:posOffset>645160</wp:posOffset>
                      </wp:positionH>
                      <wp:positionV relativeFrom="paragraph">
                        <wp:posOffset>302260</wp:posOffset>
                      </wp:positionV>
                      <wp:extent cx="1270" cy="348615"/>
                      <wp:effectExtent l="24765" t="0" r="31115" b="13335"/>
                      <wp:wrapNone/>
                      <wp:docPr id="19" name="直线 13"/>
                      <wp:cNvGraphicFramePr/>
                      <a:graphic xmlns:a="http://schemas.openxmlformats.org/drawingml/2006/main">
                        <a:graphicData uri="http://schemas.microsoft.com/office/word/2010/wordprocessingShape">
                          <wps:wsp>
                            <wps:cNvCnPr/>
                            <wps:spPr>
                              <a:xfrm flipH="1" flipV="1">
                                <a:off x="0" y="0"/>
                                <a:ext cx="1270" cy="348615"/>
                              </a:xfrm>
                              <a:prstGeom prst="line">
                                <a:avLst/>
                              </a:prstGeom>
                              <a:ln w="9525" cap="flat" cmpd="sng">
                                <a:solidFill>
                                  <a:srgbClr val="000000"/>
                                </a:solidFill>
                                <a:prstDash val="sysDot"/>
                                <a:headEnd type="stealth" w="sm" len="lg"/>
                                <a:tailEnd type="none" w="med" len="med"/>
                              </a:ln>
                            </wps:spPr>
                            <wps:bodyPr upright="1"/>
                          </wps:wsp>
                        </a:graphicData>
                      </a:graphic>
                    </wp:anchor>
                  </w:drawing>
                </mc:Choice>
                <mc:Fallback>
                  <w:pict>
                    <v:line id="直线 13" o:spid="_x0000_s1026" o:spt="20" style="position:absolute;left:0pt;flip:x y;margin-left:50.8pt;margin-top:23.8pt;height:27.45pt;width:0.1pt;z-index:251736064;mso-width-relative:page;mso-height-relative:page;" filled="f" stroked="t" coordsize="21600,21600" o:gfxdata="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IuUB1AAA&#10;AAoBAAAPAAAAAAAAAAEAIAAAACIAAABkcnMvZG93bnJldi54bWxQSwECFAAUAAAACACHTuJAruPw&#10;7ekBAACnAwAADgAAAAAAAAABACAAAAAjAQAAZHJzL2Uyb0RvYy54bWxQSwUGAAAAAAYABgBZAQAA&#10;fgUAAAAA&#10;">
                      <v:fill on="f" focussize="0,0"/>
                      <v:stroke color="#000000" joinstyle="round" dashstyle="1 1" startarrow="classic" startarrowwidth="narrow" startarrowlength="long"/>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w:t>基础工程</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bdr w:val="single" w:color="auto" w:sz="4" w:space="0"/>
                <w:shd w:val="clear" w:color="auto" w:fill="FFFFFF"/>
              </w:rPr>
              <w:t>主体工程</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bdr w:val="single" w:color="auto" w:sz="4" w:space="0"/>
                <w:shd w:val="clear" w:color="auto" w:fill="FFFFFF"/>
              </w:rPr>
              <w:t>装饰工程</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bdr w:val="single" w:color="auto" w:sz="4" w:space="0"/>
                <w:shd w:val="clear" w:color="auto" w:fill="FFFFFF"/>
              </w:rPr>
              <w:t>设备安装</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bdr w:val="single" w:color="auto" w:sz="4" w:space="0"/>
                <w:shd w:val="clear" w:color="auto" w:fill="FFFFFF"/>
              </w:rPr>
              <w:t>工程验收</w:t>
            </w:r>
            <w:r>
              <w:rPr>
                <w:rFonts w:hint="default" w:ascii="Times New Roman" w:hAnsi="Times New Roman" w:cs="Times New Roman"/>
                <w:color w:val="000000"/>
                <w:sz w:val="21"/>
                <w:szCs w:val="21"/>
              </w:rPr>
              <w:t>→</w:t>
            </w:r>
            <w:r>
              <w:rPr>
                <w:rFonts w:hint="default" w:ascii="Times New Roman" w:hAnsi="Times New Roman" w:cs="Times New Roman"/>
                <w:color w:val="000000"/>
                <w:sz w:val="21"/>
                <w:szCs w:val="21"/>
                <w:bdr w:val="single" w:color="auto" w:sz="4" w:space="0"/>
                <w:shd w:val="clear" w:color="auto" w:fill="FFFFFF"/>
              </w:rPr>
              <w:t>运行使用</w:t>
            </w:r>
          </w:p>
          <w:p>
            <w:pPr>
              <w:spacing w:line="240" w:lineRule="atLeast"/>
              <w:jc w:val="center"/>
              <w:rPr>
                <w:rFonts w:hint="default" w:ascii="Times New Roman" w:hAnsi="Times New Roman" w:cs="Times New Roman"/>
                <w:b/>
                <w:bCs/>
                <w:color w:val="000000"/>
                <w:sz w:val="21"/>
                <w:szCs w:val="21"/>
              </w:rPr>
            </w:pPr>
          </w:p>
          <w:p>
            <w:pPr>
              <w:spacing w:line="240" w:lineRule="atLeast"/>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mc:AlternateContent>
                <mc:Choice Requires="wps">
                  <w:drawing>
                    <wp:anchor distT="0" distB="0" distL="114300" distR="114300" simplePos="0" relativeHeight="251740160" behindDoc="0" locked="0" layoutInCell="1" allowOverlap="1">
                      <wp:simplePos x="0" y="0"/>
                      <wp:positionH relativeFrom="column">
                        <wp:posOffset>626110</wp:posOffset>
                      </wp:positionH>
                      <wp:positionV relativeFrom="paragraph">
                        <wp:posOffset>125095</wp:posOffset>
                      </wp:positionV>
                      <wp:extent cx="3152140" cy="0"/>
                      <wp:effectExtent l="0" t="0" r="0" b="0"/>
                      <wp:wrapNone/>
                      <wp:docPr id="20" name="直线 14"/>
                      <wp:cNvGraphicFramePr/>
                      <a:graphic xmlns:a="http://schemas.openxmlformats.org/drawingml/2006/main">
                        <a:graphicData uri="http://schemas.microsoft.com/office/word/2010/wordprocessingShape">
                          <wps:wsp>
                            <wps:cNvCnPr/>
                            <wps:spPr>
                              <a:xfrm>
                                <a:off x="0" y="0"/>
                                <a:ext cx="3152140" cy="0"/>
                              </a:xfrm>
                              <a:prstGeom prst="line">
                                <a:avLst/>
                              </a:prstGeom>
                              <a:ln w="9525" cap="flat" cmpd="sng">
                                <a:solidFill>
                                  <a:srgbClr val="000000"/>
                                </a:solidFill>
                                <a:prstDash val="sysDot"/>
                                <a:headEnd type="none" w="med" len="med"/>
                                <a:tailEnd type="none" w="med" len="med"/>
                              </a:ln>
                            </wps:spPr>
                            <wps:bodyPr upright="1"/>
                          </wps:wsp>
                        </a:graphicData>
                      </a:graphic>
                    </wp:anchor>
                  </w:drawing>
                </mc:Choice>
                <mc:Fallback>
                  <w:pict>
                    <v:line id="直线 14" o:spid="_x0000_s1026" o:spt="20" style="position:absolute;left:0pt;margin-left:49.3pt;margin-top:9.85pt;height:0pt;width:248.2pt;z-index:251740160;mso-width-relative:page;mso-height-relative:page;" filled="f" stroked="t" coordsize="21600,21600" o:gfxdata="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EWc9bWAAAACAEAAA8AAAAAAAAAAQAgAAAAIgAA&#10;AGRycy9kb3ducmV2LnhtbFBLAQIUABQAAAAIAIdO4kA2HIbR0QEAAJADAAAOAAAAAAAAAAEAIAAA&#10;ACUBAABkcnMvZTJvRG9jLnhtbFBLBQYAAAAABgAGAFkBAABoBQAAAAA=&#10;">
                      <v:fill on="f" focussize="0,0"/>
                      <v:stroke color="#000000" joinstyle="round" dashstyle="1 1"/>
                      <v:imagedata o:title=""/>
                      <o:lock v:ext="edit" aspectratio="f"/>
                    </v:line>
                  </w:pict>
                </mc:Fallback>
              </mc:AlternateContent>
            </w:r>
          </w:p>
          <w:p>
            <w:pPr>
              <w:spacing w:line="240" w:lineRule="atLeast"/>
              <w:ind w:firstLine="2520" w:firstLineChars="1200"/>
              <w:rPr>
                <w:rFonts w:hint="default" w:ascii="Times New Roman" w:hAnsi="Times New Roman" w:cs="Times New Roman"/>
                <w:i/>
                <w:iCs/>
                <w:color w:val="000000"/>
                <w:sz w:val="21"/>
                <w:szCs w:val="21"/>
              </w:rPr>
            </w:pP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44256" behindDoc="0" locked="0" layoutInCell="1" allowOverlap="1">
                      <wp:simplePos x="0" y="0"/>
                      <wp:positionH relativeFrom="column">
                        <wp:posOffset>263525</wp:posOffset>
                      </wp:positionH>
                      <wp:positionV relativeFrom="paragraph">
                        <wp:posOffset>321310</wp:posOffset>
                      </wp:positionV>
                      <wp:extent cx="635" cy="171450"/>
                      <wp:effectExtent l="4445" t="0" r="13970" b="0"/>
                      <wp:wrapNone/>
                      <wp:docPr id="23" name="直线 1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 o:spid="_x0000_s1026" o:spt="20" style="position:absolute;left:0pt;margin-left:20.75pt;margin-top:25.3pt;height:13.5pt;width:0.05pt;z-index:251744256;mso-width-relative:page;mso-height-relative:page;" filled="f" stroked="t" coordsize="21600,21600" o:gfxdata="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GE8X1gAAAAcBAAAPAAAAAAAAAAEAIAAAACIA&#10;AABkcnMvZG93bnJldi54bWxQSwECFAAUAAAACACHTuJANRnXZNIBAACQAwAADgAAAAAAAAABACAA&#10;AAAl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46304" behindDoc="0" locked="0" layoutInCell="1" allowOverlap="1">
                      <wp:simplePos x="0" y="0"/>
                      <wp:positionH relativeFrom="column">
                        <wp:posOffset>5313680</wp:posOffset>
                      </wp:positionH>
                      <wp:positionV relativeFrom="paragraph">
                        <wp:posOffset>317500</wp:posOffset>
                      </wp:positionV>
                      <wp:extent cx="635" cy="171450"/>
                      <wp:effectExtent l="4445" t="0" r="13970" b="0"/>
                      <wp:wrapNone/>
                      <wp:docPr id="21" name="直线 15"/>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 o:spid="_x0000_s1026" o:spt="20" style="position:absolute;left:0pt;margin-left:418.4pt;margin-top:25pt;height:13.5pt;width:0.05pt;z-index:251746304;mso-width-relative:page;mso-height-relative:page;" filled="f" stroked="t" coordsize="21600,21600" o:gfxdata="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dw66o1wAAAAkBAAAPAAAAAAAAAAEAIAAAACIA&#10;AABkcnMvZG93bnJldi54bWxQSwECFAAUAAAACACHTuJA0c/CNtEBAACQAwAADgAAAAAAAAABACAA&#10;AAAm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mc:AlternateContent>
                <mc:Choice Requires="wps">
                  <w:drawing>
                    <wp:anchor distT="0" distB="0" distL="114300" distR="114300" simplePos="0" relativeHeight="251745280" behindDoc="0" locked="0" layoutInCell="1" allowOverlap="1">
                      <wp:simplePos x="0" y="0"/>
                      <wp:positionH relativeFrom="column">
                        <wp:posOffset>4579620</wp:posOffset>
                      </wp:positionH>
                      <wp:positionV relativeFrom="paragraph">
                        <wp:posOffset>328930</wp:posOffset>
                      </wp:positionV>
                      <wp:extent cx="635" cy="171450"/>
                      <wp:effectExtent l="4445" t="0" r="13970" b="0"/>
                      <wp:wrapNone/>
                      <wp:docPr id="22" name="直线 16"/>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360.6pt;margin-top:25.9pt;height:13.5pt;width:0.05pt;z-index:251745280;mso-width-relative:page;mso-height-relative:page;" filled="f" stroked="t" coordsize="21600,21600" o:gfxdata="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52d1gAAAAkBAAAPAAAAAAAAAAEAIAAAACIA&#10;AABkcnMvZG93bnJldi54bWxQSwECFAAUAAAACACHTuJAR/LdTdIBAACQAwAADgAAAAAAAAABACAA&#10;AAAlAQAAZHJzL2Uyb0RvYy54bWxQSwUGAAAAAAYABgBZAQAAaQUAAAAA&#10;">
                      <v:fill on="f" focussize="0,0"/>
                      <v:stroke color="#000000" joinstyle="round"/>
                      <v:imagedata o:title=""/>
                      <o:lock v:ext="edit" aspectratio="f"/>
                    </v:line>
                  </w:pict>
                </mc:Fallback>
              </mc:AlternateContent>
            </w:r>
            <w:r>
              <w:rPr>
                <w:rFonts w:hint="default" w:ascii="Times New Roman" w:hAnsi="Times New Roman" w:cs="Times New Roman"/>
                <w:color w:val="000000"/>
                <w:sz w:val="21"/>
                <w:szCs w:val="21"/>
                <w:bdr w:val="single" w:color="auto" w:sz="4" w:space="0"/>
                <w:shd w:val="clear" w:color="auto" w:fill="FFFFFF"/>
              </w:rPr>
              <w:t>施工废水、建筑垃圾</w:t>
            </w:r>
            <w:r>
              <w:rPr>
                <w:rFonts w:hint="default" w:ascii="Times New Roman" w:hAnsi="Times New Roman" w:cs="Times New Roman"/>
                <w:color w:val="000000"/>
                <w:sz w:val="21"/>
                <w:szCs w:val="21"/>
              </w:rPr>
              <w:t xml:space="preserve">         </w:t>
            </w:r>
            <w:r>
              <w:rPr>
                <w:rFonts w:hint="default" w:ascii="Times New Roman" w:hAnsi="Times New Roman" w:cs="Times New Roman"/>
                <w:i/>
                <w:iCs/>
                <w:color w:val="000000"/>
                <w:sz w:val="21"/>
                <w:szCs w:val="21"/>
                <w:bdr w:val="single" w:color="auto" w:sz="4" w:space="0"/>
              </w:rPr>
              <w:t>生</w:t>
            </w:r>
            <w:r>
              <w:rPr>
                <w:rFonts w:hint="default" w:ascii="Times New Roman" w:hAnsi="Times New Roman" w:cs="Times New Roman"/>
                <w:color w:val="000000"/>
                <w:sz w:val="21"/>
                <w:szCs w:val="21"/>
                <w:bdr w:val="single" w:color="auto" w:sz="4" w:space="0"/>
                <w:shd w:val="clear" w:color="auto" w:fill="FFFFFF"/>
              </w:rPr>
              <w:t>活污水、生活垃圾</w:t>
            </w:r>
          </w:p>
          <w:p>
            <w:pPr>
              <w:spacing w:line="240" w:lineRule="atLeast"/>
              <w:ind w:firstLine="3704" w:firstLineChars="1757"/>
              <w:rPr>
                <w:rFonts w:hint="default" w:ascii="Times New Roman" w:hAnsi="Times New Roman" w:cs="Times New Roman"/>
                <w:b/>
                <w:bCs/>
                <w:i/>
                <w:iCs/>
                <w:color w:val="000000"/>
                <w:sz w:val="21"/>
                <w:szCs w:val="21"/>
              </w:rPr>
            </w:pPr>
            <w:r>
              <w:rPr>
                <w:rFonts w:hint="default" w:ascii="Times New Roman" w:hAnsi="Times New Roman" w:cs="Times New Roman"/>
                <w:b/>
                <w:bCs/>
                <w:i w:val="0"/>
                <w:iCs w:val="0"/>
                <w:color w:val="000000"/>
                <w:sz w:val="21"/>
                <w:szCs w:val="21"/>
              </w:rPr>
              <mc:AlternateContent>
                <mc:Choice Requires="wps">
                  <w:drawing>
                    <wp:anchor distT="0" distB="0" distL="114300" distR="114300" simplePos="0" relativeHeight="251743232" behindDoc="0" locked="0" layoutInCell="1" allowOverlap="1">
                      <wp:simplePos x="0" y="0"/>
                      <wp:positionH relativeFrom="column">
                        <wp:posOffset>255905</wp:posOffset>
                      </wp:positionH>
                      <wp:positionV relativeFrom="paragraph">
                        <wp:posOffset>-6350</wp:posOffset>
                      </wp:positionV>
                      <wp:extent cx="4291965" cy="17145"/>
                      <wp:effectExtent l="0" t="24765" r="13335" b="34290"/>
                      <wp:wrapNone/>
                      <wp:docPr id="25" name="直线 19"/>
                      <wp:cNvGraphicFramePr/>
                      <a:graphic xmlns:a="http://schemas.openxmlformats.org/drawingml/2006/main">
                        <a:graphicData uri="http://schemas.microsoft.com/office/word/2010/wordprocessingShape">
                          <wps:wsp>
                            <wps:cNvCnPr/>
                            <wps:spPr>
                              <a:xfrm>
                                <a:off x="0" y="0"/>
                                <a:ext cx="4291965" cy="17145"/>
                              </a:xfrm>
                              <a:prstGeom prst="line">
                                <a:avLst/>
                              </a:prstGeom>
                              <a:ln w="9525" cap="flat" cmpd="sng">
                                <a:solidFill>
                                  <a:srgbClr val="000000"/>
                                </a:solidFill>
                                <a:prstDash val="dash"/>
                                <a:headEnd type="stealth" w="sm" len="lg"/>
                                <a:tailEnd type="stealth" w="sm" len="lg"/>
                              </a:ln>
                            </wps:spPr>
                            <wps:bodyPr upright="1"/>
                          </wps:wsp>
                        </a:graphicData>
                      </a:graphic>
                    </wp:anchor>
                  </w:drawing>
                </mc:Choice>
                <mc:Fallback>
                  <w:pict>
                    <v:line id="直线 19" o:spid="_x0000_s1026" o:spt="20" style="position:absolute;left:0pt;margin-left:20.15pt;margin-top:-0.5pt;height:1.35pt;width:337.95pt;z-index:251743232;mso-width-relative:page;mso-height-relative:page;" filled="f" stroked="t" coordsize="21600,21600" o:gfxdata="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GJqh32AAAAAcBAAAPAAAAAAAAAAEAIAAA&#10;ACIAAABkcnMvZG93bnJldi54bWxQSwECFAAUAAAACACHTuJAlU8jENMBAACUAwAADgAAAAAAAAAB&#10;ACAAAAAnAQAAZHJzL2Uyb0RvYy54bWxQSwUGAAAAAAYABgBZAQAAbAUAAAAA&#10;">
                      <v:fill on="f" focussize="0,0"/>
                      <v:stroke color="#000000" joinstyle="round" dashstyle="dash" startarrow="classic" startarrowwidth="narrow" startarrowlength="long" endarrow="classic" endarrowwidth="narrow" endarrowlength="long"/>
                      <v:imagedata o:title=""/>
                      <o:lock v:ext="edit" aspectratio="f"/>
                    </v:line>
                  </w:pict>
                </mc:Fallback>
              </mc:AlternateContent>
            </w:r>
            <w:r>
              <w:rPr>
                <w:rFonts w:hint="default" w:ascii="Times New Roman" w:hAnsi="Times New Roman" w:cs="Times New Roman"/>
                <w:b/>
                <w:bCs/>
                <w:i w:val="0"/>
                <w:iCs w:val="0"/>
                <w:color w:val="000000"/>
                <w:sz w:val="21"/>
                <w:szCs w:val="21"/>
              </w:rPr>
              <mc:AlternateContent>
                <mc:Choice Requires="wps">
                  <w:drawing>
                    <wp:anchor distT="0" distB="0" distL="114300" distR="114300" simplePos="0" relativeHeight="251747328" behindDoc="0" locked="0" layoutInCell="1" allowOverlap="1">
                      <wp:simplePos x="0" y="0"/>
                      <wp:positionH relativeFrom="column">
                        <wp:posOffset>4578350</wp:posOffset>
                      </wp:positionH>
                      <wp:positionV relativeFrom="paragraph">
                        <wp:posOffset>10795</wp:posOffset>
                      </wp:positionV>
                      <wp:extent cx="723900" cy="635"/>
                      <wp:effectExtent l="0" t="25400" r="0" b="31115"/>
                      <wp:wrapNone/>
                      <wp:docPr id="24" name="直线 18"/>
                      <wp:cNvGraphicFramePr/>
                      <a:graphic xmlns:a="http://schemas.openxmlformats.org/drawingml/2006/main">
                        <a:graphicData uri="http://schemas.microsoft.com/office/word/2010/wordprocessingShape">
                          <wps:wsp>
                            <wps:cNvCnPr/>
                            <wps:spPr>
                              <a:xfrm>
                                <a:off x="0" y="0"/>
                                <a:ext cx="723900" cy="635"/>
                              </a:xfrm>
                              <a:prstGeom prst="line">
                                <a:avLst/>
                              </a:prstGeom>
                              <a:ln w="9525" cap="flat" cmpd="sng">
                                <a:solidFill>
                                  <a:srgbClr val="000000"/>
                                </a:solidFill>
                                <a:prstDash val="dash"/>
                                <a:headEnd type="stealth" w="sm" len="lg"/>
                                <a:tailEnd type="stealth" w="sm" len="lg"/>
                              </a:ln>
                            </wps:spPr>
                            <wps:bodyPr upright="1"/>
                          </wps:wsp>
                        </a:graphicData>
                      </a:graphic>
                    </wp:anchor>
                  </w:drawing>
                </mc:Choice>
                <mc:Fallback>
                  <w:pict>
                    <v:line id="直线 18" o:spid="_x0000_s1026" o:spt="20" style="position:absolute;left:0pt;margin-left:360.5pt;margin-top:0.85pt;height:0.05pt;width:57pt;z-index:251747328;mso-width-relative:page;mso-height-relative:page;" filled="f" stroked="t" coordsize="21600,21600" o:gfxdata="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6vCiO1gAAAAcBAAAPAAAAAAAAAAEAIAAAACIA&#10;AABkcnMvZG93bnJldi54bWxQSwECFAAUAAAACACHTuJAMS448NIBAACRAwAADgAAAAAAAAABACAA&#10;AAAlAQAAZHJzL2Uyb0RvYy54bWxQSwUGAAAAAAYABgBZAQAAaQUAAAAA&#10;">
                      <v:fill on="f" focussize="0,0"/>
                      <v:stroke color="#000000" joinstyle="round" dashstyle="dash" startarrow="classic" startarrowwidth="narrow" startarrowlength="long" endarrow="classic" endarrowwidth="narrow" endarrowlength="long"/>
                      <v:imagedata o:title=""/>
                      <o:lock v:ext="edit" aspectratio="f"/>
                    </v:line>
                  </w:pict>
                </mc:Fallback>
              </mc:AlternateContent>
            </w:r>
            <w:r>
              <w:rPr>
                <w:rFonts w:hint="default" w:ascii="Times New Roman" w:hAnsi="Times New Roman" w:cs="Times New Roman"/>
                <w:b/>
                <w:bCs/>
                <w:i w:val="0"/>
                <w:iCs w:val="0"/>
                <w:color w:val="000000"/>
                <w:sz w:val="21"/>
                <w:szCs w:val="21"/>
              </w:rPr>
              <w:t>施工期</w:t>
            </w:r>
            <w:r>
              <w:rPr>
                <w:rFonts w:hint="default" w:ascii="Times New Roman" w:hAnsi="Times New Roman" w:cs="Times New Roman"/>
                <w:b/>
                <w:bCs/>
                <w:i/>
                <w:iCs/>
                <w:color w:val="000000"/>
                <w:sz w:val="21"/>
                <w:szCs w:val="21"/>
              </w:rPr>
              <w:t xml:space="preserve">                     </w:t>
            </w:r>
            <w:r>
              <w:rPr>
                <w:rFonts w:hint="default" w:ascii="Times New Roman" w:hAnsi="Times New Roman" w:cs="Times New Roman"/>
                <w:b/>
                <w:bCs/>
                <w:i w:val="0"/>
                <w:iCs w:val="0"/>
                <w:color w:val="000000"/>
                <w:sz w:val="21"/>
                <w:szCs w:val="21"/>
              </w:rPr>
              <w:t>营运期</w:t>
            </w:r>
          </w:p>
          <w:p>
            <w:pPr>
              <w:spacing w:line="240" w:lineRule="atLeast"/>
              <w:ind w:firstLine="2066" w:firstLineChars="980"/>
              <w:rPr>
                <w:rFonts w:hint="default" w:ascii="Times New Roman" w:hAnsi="Times New Roman" w:cs="Times New Roman"/>
                <w:b/>
                <w:bCs/>
                <w:color w:val="000000"/>
                <w:sz w:val="21"/>
                <w:szCs w:val="21"/>
              </w:rPr>
            </w:pPr>
          </w:p>
          <w:p>
            <w:pPr>
              <w:spacing w:line="240" w:lineRule="atLeast"/>
              <w:ind w:left="0" w:leftChars="0" w:right="0" w:rightChars="0" w:firstLine="0" w:firstLineChars="0"/>
              <w:jc w:val="center"/>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rPr>
              <w:t>图</w:t>
            </w:r>
            <w:r>
              <w:rPr>
                <w:rFonts w:hint="eastAsia" w:ascii="Times New Roman" w:hAnsi="Times New Roman" w:cs="Times New Roman"/>
                <w:b/>
                <w:bCs/>
                <w:color w:val="000000"/>
                <w:sz w:val="21"/>
                <w:szCs w:val="21"/>
                <w:lang w:val="en-US" w:eastAsia="zh-CN"/>
              </w:rPr>
              <w:t>4</w:t>
            </w:r>
            <w:r>
              <w:rPr>
                <w:rFonts w:hint="default" w:ascii="Times New Roman" w:hAnsi="Times New Roman" w:cs="Times New Roman"/>
                <w:b/>
                <w:bCs/>
                <w:color w:val="000000"/>
                <w:sz w:val="21"/>
                <w:szCs w:val="21"/>
              </w:rPr>
              <w:t>-</w:t>
            </w:r>
            <w:r>
              <w:rPr>
                <w:rFonts w:hint="eastAsia" w:ascii="Times New Roman" w:hAnsi="Times New Roman" w:cs="Times New Roman"/>
                <w:b/>
                <w:bCs/>
                <w:color w:val="000000"/>
                <w:sz w:val="21"/>
                <w:szCs w:val="21"/>
                <w:lang w:val="en-US" w:eastAsia="zh-CN"/>
              </w:rPr>
              <w:t>2</w:t>
            </w:r>
            <w:r>
              <w:rPr>
                <w:rFonts w:hint="default" w:ascii="Times New Roman" w:hAnsi="Times New Roman" w:cs="Times New Roman"/>
                <w:b/>
                <w:bCs/>
                <w:color w:val="000000"/>
                <w:sz w:val="21"/>
                <w:szCs w:val="21"/>
              </w:rPr>
              <w:t xml:space="preserve">  施工期、营运期产污工艺流程图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spacing w:line="360" w:lineRule="auto"/>
              <w:jc w:val="left"/>
              <w:rPr>
                <w:rFonts w:hint="eastAsia" w:ascii="Times New Roman" w:hAnsi="Times New Roman" w:eastAsia="宋体" w:cs="Times New Roman"/>
                <w:b/>
                <w:bCs/>
                <w:sz w:val="21"/>
                <w:szCs w:val="21"/>
                <w:highlight w:val="none"/>
                <w:vertAlign w:val="baseline"/>
                <w:lang w:val="en-US" w:eastAsia="zh-CN"/>
              </w:rPr>
            </w:pPr>
            <w:r>
              <w:rPr>
                <w:rFonts w:hint="eastAsia" w:ascii="Times New Roman" w:hAnsi="Times New Roman" w:eastAsia="宋体" w:cs="Times New Roman"/>
                <w:b/>
                <w:bCs/>
                <w:sz w:val="21"/>
                <w:szCs w:val="21"/>
                <w:highlight w:val="none"/>
                <w:vertAlign w:val="baseline"/>
                <w:lang w:val="en-US" w:eastAsia="zh-CN"/>
              </w:rPr>
              <w:t>工程占地及平面布置（附图）：</w:t>
            </w:r>
          </w:p>
          <w:p>
            <w:pPr>
              <w:spacing w:line="360" w:lineRule="auto"/>
              <w:ind w:firstLine="560"/>
              <w:jc w:val="left"/>
              <w:rPr>
                <w:rFonts w:hint="eastAsia" w:ascii="Times New Roman" w:hAnsi="Times New Roman" w:cs="Times New Roman"/>
                <w:color w:val="auto"/>
                <w:spacing w:val="10"/>
                <w:sz w:val="21"/>
                <w:szCs w:val="21"/>
                <w:highlight w:val="none"/>
                <w:lang w:eastAsia="zh-CN"/>
              </w:rPr>
            </w:pPr>
            <w:r>
              <w:rPr>
                <w:rFonts w:hint="eastAsia" w:ascii="Times New Roman" w:hAnsi="Times New Roman" w:cs="Times New Roman"/>
                <w:color w:val="auto"/>
                <w:spacing w:val="10"/>
                <w:sz w:val="21"/>
                <w:szCs w:val="21"/>
                <w:highlight w:val="none"/>
                <w:lang w:eastAsia="zh-CN"/>
              </w:rPr>
              <w:t>本项目占地</w:t>
            </w:r>
            <w:r>
              <w:rPr>
                <w:rFonts w:hint="default" w:ascii="Times New Roman" w:hAnsi="Times New Roman" w:cs="Times New Roman"/>
                <w:color w:val="auto"/>
                <w:spacing w:val="10"/>
                <w:sz w:val="21"/>
                <w:szCs w:val="21"/>
                <w:highlight w:val="none"/>
              </w:rPr>
              <w:t>面积</w:t>
            </w:r>
            <w:r>
              <w:rPr>
                <w:rFonts w:hint="default" w:ascii="Times New Roman" w:hAnsi="Times New Roman" w:cs="Times New Roman"/>
                <w:color w:val="auto"/>
                <w:spacing w:val="10"/>
                <w:sz w:val="21"/>
                <w:szCs w:val="21"/>
                <w:highlight w:val="none"/>
                <w:lang w:val="en-US" w:eastAsia="zh-CN"/>
              </w:rPr>
              <w:t>102494.871</w:t>
            </w:r>
            <w:r>
              <w:rPr>
                <w:rFonts w:hint="default" w:ascii="Times New Roman" w:hAnsi="Times New Roman" w:cs="Times New Roman"/>
                <w:color w:val="auto"/>
                <w:spacing w:val="10"/>
                <w:sz w:val="21"/>
                <w:szCs w:val="21"/>
                <w:highlight w:val="none"/>
              </w:rPr>
              <w:t>m</w:t>
            </w:r>
            <w:r>
              <w:rPr>
                <w:rFonts w:hint="default" w:ascii="Times New Roman" w:hAnsi="Times New Roman" w:cs="Times New Roman"/>
                <w:color w:val="auto"/>
                <w:spacing w:val="10"/>
                <w:sz w:val="21"/>
                <w:szCs w:val="21"/>
                <w:highlight w:val="none"/>
                <w:vertAlign w:val="superscript"/>
              </w:rPr>
              <w:t>2</w:t>
            </w:r>
            <w:r>
              <w:rPr>
                <w:rFonts w:hint="default" w:ascii="Times New Roman" w:hAnsi="Times New Roman" w:cs="Times New Roman"/>
                <w:color w:val="auto"/>
                <w:spacing w:val="10"/>
                <w:sz w:val="21"/>
                <w:szCs w:val="21"/>
                <w:highlight w:val="none"/>
              </w:rPr>
              <w:t>，</w:t>
            </w:r>
            <w:r>
              <w:rPr>
                <w:rFonts w:hint="eastAsia" w:ascii="Times New Roman" w:hAnsi="Times New Roman" w:cs="Times New Roman"/>
                <w:color w:val="auto"/>
                <w:spacing w:val="10"/>
                <w:sz w:val="21"/>
                <w:szCs w:val="21"/>
                <w:highlight w:val="none"/>
                <w:lang w:eastAsia="zh-CN"/>
              </w:rPr>
              <w:t>平面布置图见下图：</w:t>
            </w:r>
          </w:p>
          <w:p>
            <w:pPr>
              <w:spacing w:line="360" w:lineRule="auto"/>
              <w:ind w:firstLine="560"/>
              <w:jc w:val="left"/>
              <w:rPr>
                <w:rFonts w:hint="default" w:ascii="Times New Roman" w:hAnsi="Times New Roman" w:cs="Times New Roman"/>
                <w:color w:val="auto"/>
                <w:spacing w:val="10"/>
                <w:sz w:val="21"/>
                <w:szCs w:val="21"/>
                <w:lang w:val="en-US" w:eastAsia="zh-CN"/>
              </w:rPr>
            </w:pPr>
            <w:r>
              <w:rPr>
                <w:rFonts w:hint="eastAsia" w:ascii="Times New Roman" w:hAnsi="Times New Roman" w:cs="Times New Roman"/>
                <w:color w:val="auto"/>
                <w:spacing w:val="10"/>
                <w:sz w:val="21"/>
                <w:szCs w:val="21"/>
                <w:lang w:eastAsia="zh-CN"/>
              </w:rPr>
              <w:drawing>
                <wp:inline distT="0" distB="0" distL="114300" distR="114300">
                  <wp:extent cx="3515995" cy="4668520"/>
                  <wp:effectExtent l="0" t="0" r="17780" b="8255"/>
                  <wp:docPr id="39" name="图片 39" descr="Doc2018052209515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oc201805220951500005"/>
                          <pic:cNvPicPr>
                            <a:picLocks noChangeAspect="1"/>
                          </pic:cNvPicPr>
                        </pic:nvPicPr>
                        <pic:blipFill>
                          <a:blip r:embed="rId14"/>
                          <a:srcRect l="6144" t="4575" r="3614" b="11184"/>
                          <a:stretch>
                            <a:fillRect/>
                          </a:stretch>
                        </pic:blipFill>
                        <pic:spPr>
                          <a:xfrm rot="5400000">
                            <a:off x="0" y="0"/>
                            <a:ext cx="3515995" cy="4668520"/>
                          </a:xfrm>
                          <a:prstGeom prst="rect">
                            <a:avLst/>
                          </a:prstGeom>
                        </pic:spPr>
                      </pic:pic>
                    </a:graphicData>
                  </a:graphic>
                </wp:inline>
              </w:drawing>
            </w:r>
          </w:p>
          <w:p>
            <w:pPr>
              <w:spacing w:line="360" w:lineRule="auto"/>
              <w:jc w:val="center"/>
              <w:rPr>
                <w:rFonts w:hint="default" w:ascii="Times New Roman" w:hAnsi="Times New Roman" w:cs="Times New Roman"/>
                <w:color w:val="auto"/>
                <w:spacing w:val="10"/>
                <w:sz w:val="21"/>
                <w:szCs w:val="21"/>
                <w:lang w:val="en-US" w:eastAsia="zh-CN"/>
              </w:rPr>
            </w:pPr>
            <w:r>
              <w:rPr>
                <w:rFonts w:hint="eastAsia" w:ascii="Times New Roman" w:hAnsi="Times New Roman" w:cs="Times New Roman"/>
                <w:color w:val="auto"/>
                <w:spacing w:val="10"/>
                <w:sz w:val="21"/>
                <w:szCs w:val="21"/>
                <w:lang w:val="en-US" w:eastAsia="zh-CN"/>
              </w:rPr>
              <w:t>图4-3项目总平面示意图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0" w:hRule="atLeast"/>
        </w:trPr>
        <w:tc>
          <w:tcPr>
            <w:tcW w:w="8522" w:type="dxa"/>
            <w:gridSpan w:val="2"/>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工程环境保护投资明细：</w:t>
            </w:r>
          </w:p>
          <w:p>
            <w:pPr>
              <w:spacing w:line="480" w:lineRule="exact"/>
              <w:ind w:firstLine="4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该项目建设过程中需在噪声防治、汽车废气排放、生活垃圾收集和生活污水纳管等环境保护工作上投入一定资金，以确保环境污染防治工程措施落实到位。该项目环保投资额为</w:t>
            </w:r>
            <w:r>
              <w:rPr>
                <w:rFonts w:hint="eastAsia" w:ascii="Times New Roman" w:hAnsi="Times New Roman" w:cs="Times New Roman"/>
                <w:color w:val="auto"/>
                <w:sz w:val="21"/>
                <w:szCs w:val="21"/>
                <w:lang w:val="en-US" w:eastAsia="zh-CN"/>
              </w:rPr>
              <w:t>920</w:t>
            </w:r>
            <w:r>
              <w:rPr>
                <w:rFonts w:hint="default" w:ascii="Times New Roman" w:hAnsi="Times New Roman" w:cs="Times New Roman"/>
                <w:color w:val="auto"/>
                <w:sz w:val="21"/>
                <w:szCs w:val="21"/>
              </w:rPr>
              <w:t>万元，约占项目投资总额的</w:t>
            </w:r>
            <w:r>
              <w:rPr>
                <w:rFonts w:hint="eastAsia" w:ascii="Times New Roman" w:hAnsi="Times New Roman" w:cs="Times New Roman"/>
                <w:color w:val="auto"/>
                <w:sz w:val="21"/>
                <w:szCs w:val="21"/>
                <w:lang w:val="en-US" w:eastAsia="zh-CN"/>
              </w:rPr>
              <w:t>0.82</w:t>
            </w:r>
            <w:r>
              <w:rPr>
                <w:rFonts w:hint="default" w:ascii="Times New Roman" w:hAnsi="Times New Roman" w:cs="Times New Roman"/>
                <w:color w:val="auto"/>
                <w:sz w:val="21"/>
                <w:szCs w:val="21"/>
              </w:rPr>
              <w:t>%，具体环保工程投资见下表：</w:t>
            </w:r>
          </w:p>
          <w:p>
            <w:pPr>
              <w:spacing w:line="48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环保设施投资一览表</w:t>
            </w:r>
          </w:p>
          <w:tbl>
            <w:tblPr>
              <w:tblStyle w:val="18"/>
              <w:tblW w:w="8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4432"/>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3" w:hRule="atLeast"/>
              </w:trPr>
              <w:tc>
                <w:tcPr>
                  <w:tcW w:w="6284" w:type="dxa"/>
                  <w:gridSpan w:val="2"/>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 境 污 染 防 治 项 目</w:t>
                  </w:r>
                </w:p>
              </w:tc>
              <w:tc>
                <w:tcPr>
                  <w:tcW w:w="1956" w:type="dxa"/>
                  <w:vAlign w:val="center"/>
                </w:tcPr>
                <w:p>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实际</w:t>
                  </w:r>
                  <w:r>
                    <w:rPr>
                      <w:rFonts w:hint="default" w:ascii="Times New Roman" w:hAnsi="Times New Roman" w:cs="Times New Roman"/>
                      <w:color w:val="auto"/>
                      <w:sz w:val="21"/>
                      <w:szCs w:val="21"/>
                    </w:rPr>
                    <w:t>投资</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1852" w:type="dxa"/>
                  <w:vAlign w:val="center"/>
                </w:tcPr>
                <w:p>
                  <w:pPr>
                    <w:spacing w:line="240" w:lineRule="auto"/>
                    <w:ind w:firstLine="48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噪声防治</w:t>
                  </w:r>
                </w:p>
              </w:tc>
              <w:tc>
                <w:tcPr>
                  <w:tcW w:w="4432"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设备隔振降噪、声屏障等</w:t>
                  </w:r>
                </w:p>
              </w:tc>
              <w:tc>
                <w:tcPr>
                  <w:tcW w:w="1956" w:type="dxa"/>
                  <w:vAlign w:val="center"/>
                </w:tcPr>
                <w:p>
                  <w:pPr>
                    <w:spacing w:line="240" w:lineRule="auto"/>
                    <w:ind w:left="0" w:leftChars="0" w:right="0" w:rightChars="0"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trPr>
              <w:tc>
                <w:tcPr>
                  <w:tcW w:w="185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w:t>
                  </w:r>
                </w:p>
              </w:tc>
              <w:tc>
                <w:tcPr>
                  <w:tcW w:w="4432" w:type="dxa"/>
                  <w:vAlign w:val="center"/>
                </w:tcPr>
                <w:p>
                  <w:pPr>
                    <w:spacing w:line="240" w:lineRule="auto"/>
                    <w:ind w:firstLine="48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通风系统、油烟净化器</w:t>
                  </w:r>
                </w:p>
              </w:tc>
              <w:tc>
                <w:tcPr>
                  <w:tcW w:w="1956"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trPr>
              <w:tc>
                <w:tcPr>
                  <w:tcW w:w="185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生活垃圾处理</w:t>
                  </w:r>
                </w:p>
              </w:tc>
              <w:tc>
                <w:tcPr>
                  <w:tcW w:w="4432"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垃圾桶、垃圾房</w:t>
                  </w:r>
                </w:p>
              </w:tc>
              <w:tc>
                <w:tcPr>
                  <w:tcW w:w="1956"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4" w:hRule="atLeast"/>
              </w:trPr>
              <w:tc>
                <w:tcPr>
                  <w:tcW w:w="185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443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w:t>
                  </w:r>
                  <w:r>
                    <w:rPr>
                      <w:rFonts w:hint="eastAsia" w:ascii="Times New Roman" w:hAnsi="Times New Roman" w:cs="Times New Roman"/>
                      <w:color w:val="auto"/>
                      <w:sz w:val="21"/>
                      <w:szCs w:val="21"/>
                      <w:lang w:eastAsia="zh-CN"/>
                    </w:rPr>
                    <w:t>、斜板隔油沉淀池</w:t>
                  </w:r>
                  <w:r>
                    <w:rPr>
                      <w:rFonts w:hint="default" w:ascii="Times New Roman" w:hAnsi="Times New Roman" w:cs="Times New Roman"/>
                      <w:color w:val="auto"/>
                      <w:sz w:val="21"/>
                      <w:szCs w:val="21"/>
                    </w:rPr>
                    <w:t>及雨污分流系统</w:t>
                  </w:r>
                </w:p>
              </w:tc>
              <w:tc>
                <w:tcPr>
                  <w:tcW w:w="1956"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6" w:hRule="atLeast"/>
              </w:trPr>
              <w:tc>
                <w:tcPr>
                  <w:tcW w:w="1852" w:type="dxa"/>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w:t>
                  </w:r>
                </w:p>
              </w:tc>
              <w:tc>
                <w:tcPr>
                  <w:tcW w:w="4432" w:type="dxa"/>
                  <w:vAlign w:val="center"/>
                </w:tcPr>
                <w:p>
                  <w:pPr>
                    <w:spacing w:line="240" w:lineRule="auto"/>
                    <w:ind w:firstLine="48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绿地建设、景观改善等</w:t>
                  </w:r>
                </w:p>
              </w:tc>
              <w:tc>
                <w:tcPr>
                  <w:tcW w:w="1956" w:type="dxa"/>
                  <w:vAlign w:val="center"/>
                </w:tcPr>
                <w:p>
                  <w:pPr>
                    <w:spacing w:line="240" w:lineRule="auto"/>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6284" w:type="dxa"/>
                  <w:gridSpan w:val="2"/>
                  <w:vAlign w:val="center"/>
                </w:tcPr>
                <w:p>
                  <w:pPr>
                    <w:spacing w:line="240" w:lineRule="auto"/>
                    <w:ind w:firstLine="2473" w:firstLineChars="1178"/>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    计</w:t>
                  </w:r>
                </w:p>
              </w:tc>
              <w:tc>
                <w:tcPr>
                  <w:tcW w:w="1956" w:type="dxa"/>
                  <w:vAlign w:val="center"/>
                </w:tcPr>
                <w:p>
                  <w:pPr>
                    <w:spacing w:line="240" w:lineRule="auto"/>
                    <w:ind w:left="0" w:leftChars="0" w:right="0" w:rightChars="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290</w:t>
                  </w:r>
                </w:p>
              </w:tc>
            </w:tr>
          </w:tbl>
          <w:p>
            <w:pPr>
              <w:spacing w:line="360" w:lineRule="auto"/>
              <w:jc w:val="left"/>
              <w:rPr>
                <w:rFonts w:hint="default" w:ascii="Times New Roman" w:hAnsi="Times New Roman" w:eastAsia="宋体" w:cs="Times New Roman"/>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与项目有关的生态破坏和污染物排放、主要环境问题及环境保护措施：</w:t>
            </w:r>
          </w:p>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 xml:space="preserve">    1、生态影响</w:t>
            </w:r>
          </w:p>
          <w:p>
            <w:pPr>
              <w:adjustRightInd w:val="0"/>
              <w:snapToGrid w:val="0"/>
              <w:spacing w:line="360" w:lineRule="auto"/>
              <w:ind w:firstLine="420" w:firstLineChars="2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施工方应根据以下原则对施工弃土、弃石临时堆放地进行防治，努力将施工期间场地水土流失对环境造成的不良影响降低到最小。</w:t>
            </w:r>
          </w:p>
          <w:p>
            <w:pPr>
              <w:adjustRightInd w:val="0"/>
              <w:snapToGrid w:val="0"/>
              <w:spacing w:line="360" w:lineRule="auto"/>
              <w:ind w:firstLine="420" w:firstLineChars="2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①施工期间对废弃土石进行及时的清运，场地内无废弃土石的堆放；</w:t>
            </w:r>
          </w:p>
          <w:p>
            <w:pPr>
              <w:adjustRightInd w:val="0"/>
              <w:snapToGrid w:val="0"/>
              <w:spacing w:line="360" w:lineRule="auto"/>
              <w:ind w:firstLine="420" w:firstLineChars="20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②建议在条件许可的情况下，废弃土石临时堆放地面，应采用硬化地面；</w:t>
            </w:r>
          </w:p>
          <w:p>
            <w:pPr>
              <w:adjustRightInd w:val="0"/>
              <w:snapToGrid w:val="0"/>
              <w:spacing w:line="360" w:lineRule="auto"/>
              <w:ind w:firstLine="420" w:firstLineChars="200"/>
              <w:rPr>
                <w:rFonts w:hint="eastAsia"/>
                <w:b/>
                <w:color w:val="000000"/>
                <w:sz w:val="21"/>
                <w:szCs w:val="21"/>
              </w:rPr>
            </w:pPr>
            <w:r>
              <w:rPr>
                <w:rFonts w:hint="default" w:ascii="Times New Roman" w:hAnsi="Times New Roman" w:cs="Times New Roman"/>
                <w:color w:val="000000"/>
                <w:sz w:val="21"/>
                <w:szCs w:val="21"/>
              </w:rPr>
              <w:t>③场地内应设置专门的雨水导流渠，防止因雨水冲刷造成水土流失。</w:t>
            </w:r>
          </w:p>
          <w:p>
            <w:pPr>
              <w:numPr>
                <w:ilvl w:val="0"/>
                <w:numId w:val="0"/>
              </w:numPr>
              <w:spacing w:line="360" w:lineRule="auto"/>
              <w:ind w:right="120" w:rightChars="50"/>
              <w:rPr>
                <w:rFonts w:hint="eastAsia"/>
                <w:b/>
                <w:color w:val="000000"/>
                <w:sz w:val="21"/>
                <w:szCs w:val="21"/>
              </w:rPr>
            </w:pPr>
            <w:r>
              <w:rPr>
                <w:rFonts w:hint="eastAsia"/>
                <w:b/>
                <w:color w:val="000000"/>
                <w:sz w:val="21"/>
                <w:szCs w:val="21"/>
                <w:lang w:val="en-US" w:eastAsia="zh-CN"/>
              </w:rPr>
              <w:t xml:space="preserve">    2、</w:t>
            </w:r>
            <w:r>
              <w:rPr>
                <w:rFonts w:hint="eastAsia"/>
                <w:b/>
                <w:color w:val="000000"/>
                <w:sz w:val="21"/>
                <w:szCs w:val="21"/>
              </w:rPr>
              <w:t>大气环境影响</w:t>
            </w:r>
          </w:p>
          <w:p>
            <w:pPr>
              <w:numPr>
                <w:ilvl w:val="0"/>
                <w:numId w:val="0"/>
              </w:numPr>
              <w:spacing w:line="360" w:lineRule="auto"/>
              <w:ind w:right="120" w:rightChars="50" w:firstLine="420" w:firstLineChars="200"/>
              <w:rPr>
                <w:rFonts w:hint="eastAsia" w:ascii="宋体" w:hAnsi="宋体"/>
                <w:color w:val="000000"/>
                <w:sz w:val="21"/>
                <w:szCs w:val="21"/>
              </w:rPr>
            </w:pPr>
            <w:r>
              <w:rPr>
                <w:rFonts w:hint="eastAsia" w:ascii="宋体" w:hAnsi="宋体"/>
                <w:color w:val="000000"/>
                <w:sz w:val="21"/>
                <w:szCs w:val="21"/>
              </w:rPr>
              <w:t>由于小区内不得设置餐饮业及产生环境噪声、振动污染的娱乐业等经营项目。因此其营运期污染物主要为小区居民生活产生的污染物，包括油烟废气、汽车尾气等。</w:t>
            </w:r>
          </w:p>
          <w:p>
            <w:pPr>
              <w:numPr>
                <w:ilvl w:val="0"/>
                <w:numId w:val="0"/>
              </w:numPr>
              <w:spacing w:line="360" w:lineRule="auto"/>
              <w:ind w:right="120" w:rightChars="50" w:firstLine="420" w:firstLineChars="200"/>
              <w:rPr>
                <w:rFonts w:hint="eastAsia" w:hAnsi="宋体"/>
                <w:color w:val="000000"/>
                <w:kern w:val="0"/>
                <w:sz w:val="21"/>
                <w:szCs w:val="21"/>
              </w:rPr>
            </w:pPr>
            <w:r>
              <w:rPr>
                <w:rFonts w:hint="eastAsia" w:hAnsi="宋体"/>
                <w:color w:val="000000"/>
                <w:kern w:val="0"/>
                <w:sz w:val="21"/>
                <w:szCs w:val="21"/>
              </w:rPr>
              <w:t>油烟废气经家用小型抽油烟机过滤后去除率达80%，通过</w:t>
            </w:r>
            <w:r>
              <w:rPr>
                <w:rFonts w:hAnsi="宋体"/>
                <w:color w:val="000000"/>
                <w:kern w:val="0"/>
                <w:sz w:val="21"/>
                <w:szCs w:val="21"/>
              </w:rPr>
              <w:t>住宅集中烟道</w:t>
            </w:r>
            <w:r>
              <w:rPr>
                <w:rFonts w:hint="eastAsia" w:hAnsi="宋体"/>
                <w:color w:val="000000"/>
                <w:kern w:val="0"/>
                <w:sz w:val="21"/>
                <w:szCs w:val="21"/>
              </w:rPr>
              <w:t>，</w:t>
            </w:r>
            <w:r>
              <w:rPr>
                <w:rFonts w:hAnsi="宋体"/>
                <w:color w:val="000000"/>
                <w:kern w:val="0"/>
                <w:sz w:val="21"/>
                <w:szCs w:val="21"/>
              </w:rPr>
              <w:t>楼顶高空排放</w:t>
            </w:r>
            <w:r>
              <w:rPr>
                <w:rFonts w:hint="eastAsia" w:hAnsi="宋体"/>
                <w:color w:val="000000"/>
                <w:kern w:val="0"/>
                <w:sz w:val="21"/>
                <w:szCs w:val="21"/>
              </w:rPr>
              <w:t>。</w:t>
            </w:r>
          </w:p>
          <w:p>
            <w:pPr>
              <w:pStyle w:val="31"/>
              <w:adjustRightInd w:val="0"/>
              <w:snapToGrid w:val="0"/>
              <w:spacing w:line="360" w:lineRule="auto"/>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在地下停车场内设置</w:t>
            </w:r>
            <w:r>
              <w:rPr>
                <w:rFonts w:hint="eastAsia" w:ascii="Times New Roman" w:hAnsi="Times New Roman" w:cs="Times New Roman"/>
                <w:color w:val="000000"/>
                <w:kern w:val="0"/>
                <w:sz w:val="21"/>
                <w:szCs w:val="21"/>
                <w:lang w:eastAsia="zh-CN"/>
              </w:rPr>
              <w:t>通风系统</w:t>
            </w:r>
            <w:r>
              <w:rPr>
                <w:rFonts w:hint="default" w:ascii="Times New Roman" w:hAnsi="Times New Roman" w:cs="Times New Roman"/>
                <w:color w:val="000000"/>
                <w:kern w:val="0"/>
                <w:sz w:val="21"/>
                <w:szCs w:val="21"/>
              </w:rPr>
              <w:t>，通过竖向井引至地面排放，排气筒高于地面</w:t>
            </w:r>
            <w:r>
              <w:rPr>
                <w:rFonts w:hint="eastAsia"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rPr>
              <w:t>面向绿化带，背离居民区。</w:t>
            </w:r>
          </w:p>
          <w:p>
            <w:pPr>
              <w:pStyle w:val="31"/>
              <w:adjustRightInd w:val="0"/>
              <w:snapToGrid w:val="0"/>
              <w:spacing w:line="360" w:lineRule="auto"/>
              <w:rPr>
                <w:rFonts w:hint="eastAsia"/>
                <w:b/>
                <w:snapToGrid w:val="0"/>
                <w:color w:val="000000"/>
                <w:kern w:val="0"/>
                <w:sz w:val="21"/>
                <w:szCs w:val="21"/>
              </w:rPr>
            </w:pPr>
            <w:r>
              <w:rPr>
                <w:rFonts w:hint="eastAsia"/>
                <w:b/>
                <w:snapToGrid w:val="0"/>
                <w:color w:val="000000"/>
                <w:kern w:val="0"/>
                <w:sz w:val="21"/>
                <w:szCs w:val="21"/>
                <w:lang w:val="en-US" w:eastAsia="zh-CN"/>
              </w:rPr>
              <w:t>3、</w:t>
            </w:r>
            <w:r>
              <w:rPr>
                <w:rFonts w:hint="eastAsia"/>
                <w:b/>
                <w:snapToGrid w:val="0"/>
                <w:color w:val="000000"/>
                <w:kern w:val="0"/>
                <w:sz w:val="21"/>
                <w:szCs w:val="21"/>
              </w:rPr>
              <w:t>水环境影响</w:t>
            </w:r>
          </w:p>
          <w:p>
            <w:pPr>
              <w:adjustRightInd w:val="0"/>
              <w:snapToGrid w:val="0"/>
              <w:spacing w:line="360" w:lineRule="auto"/>
              <w:ind w:firstLine="413" w:firstLineChars="197"/>
              <w:rPr>
                <w:rFonts w:hint="eastAsia"/>
                <w:snapToGrid w:val="0"/>
                <w:color w:val="000000"/>
                <w:kern w:val="0"/>
                <w:sz w:val="21"/>
                <w:szCs w:val="21"/>
                <w:highlight w:val="yellow"/>
              </w:rPr>
            </w:pPr>
            <w:r>
              <w:rPr>
                <w:rFonts w:hint="eastAsia" w:ascii="Times New Roman" w:hAnsi="Times New Roman" w:cs="Times New Roman"/>
                <w:snapToGrid w:val="0"/>
                <w:color w:val="auto"/>
                <w:kern w:val="0"/>
                <w:sz w:val="21"/>
                <w:szCs w:val="21"/>
                <w:lang w:eastAsia="zh-CN"/>
              </w:rPr>
              <w:t>项目营运后，产生的废水主要为生活废水。生活废水排入化粪池，经化粪池处理后，进入市政污水管网，送至下午屯污水处理厂处理后达标排放。化粪池经防渗处理，对地下水和地表水影响较小。</w:t>
            </w:r>
          </w:p>
          <w:p>
            <w:pPr>
              <w:adjustRightInd w:val="0"/>
              <w:snapToGrid w:val="0"/>
              <w:spacing w:line="360" w:lineRule="auto"/>
              <w:ind w:right="120" w:rightChars="50" w:firstLine="413" w:firstLineChars="196"/>
              <w:rPr>
                <w:rFonts w:hint="eastAsia" w:ascii="宋体" w:hAnsi="宋体"/>
                <w:color w:val="000000"/>
                <w:sz w:val="21"/>
                <w:szCs w:val="21"/>
              </w:rPr>
            </w:pPr>
            <w:r>
              <w:rPr>
                <w:rFonts w:hint="eastAsia" w:ascii="宋体" w:hAnsi="宋体"/>
                <w:b/>
                <w:color w:val="000000"/>
                <w:sz w:val="21"/>
                <w:szCs w:val="21"/>
                <w:lang w:val="en-US" w:eastAsia="zh-CN"/>
              </w:rPr>
              <w:t>4、</w:t>
            </w:r>
            <w:r>
              <w:rPr>
                <w:rFonts w:ascii="宋体" w:hAnsi="宋体"/>
                <w:b/>
                <w:snapToGrid w:val="0"/>
                <w:color w:val="000000"/>
                <w:kern w:val="0"/>
                <w:sz w:val="21"/>
                <w:szCs w:val="21"/>
              </w:rPr>
              <w:t>声环境影响</w:t>
            </w:r>
          </w:p>
          <w:p>
            <w:pPr>
              <w:adjustRightInd w:val="0"/>
              <w:snapToGrid w:val="0"/>
              <w:spacing w:line="360" w:lineRule="auto"/>
              <w:ind w:firstLine="420" w:firstLineChars="200"/>
              <w:rPr>
                <w:rFonts w:hint="default" w:ascii="Times New Roman" w:hAnsi="Times New Roman" w:cs="Times New Roman"/>
                <w:b w:val="0"/>
                <w:bCs w:val="0"/>
                <w:color w:val="000000"/>
                <w:sz w:val="21"/>
                <w:szCs w:val="21"/>
                <w:u w:val="none"/>
              </w:rPr>
            </w:pPr>
            <w:r>
              <w:rPr>
                <w:color w:val="000000"/>
                <w:sz w:val="21"/>
                <w:szCs w:val="21"/>
              </w:rPr>
              <w:t>车辆噪声</w:t>
            </w:r>
            <w:r>
              <w:rPr>
                <w:rFonts w:hint="eastAsia"/>
                <w:color w:val="000000"/>
                <w:sz w:val="21"/>
                <w:szCs w:val="21"/>
              </w:rPr>
              <w:t>：</w:t>
            </w:r>
            <w:r>
              <w:rPr>
                <w:color w:val="000000"/>
                <w:sz w:val="21"/>
                <w:szCs w:val="21"/>
              </w:rPr>
              <w:t>交通噪</w:t>
            </w:r>
            <w:r>
              <w:rPr>
                <w:rFonts w:hint="default" w:ascii="Times New Roman" w:hAnsi="Times New Roman" w:cs="Times New Roman"/>
                <w:color w:val="000000"/>
                <w:sz w:val="21"/>
                <w:szCs w:val="21"/>
              </w:rPr>
              <w:t>声主要来源于车辆行驶时产生的噪声，通过优化项目总平面布置，人车分流，加强项目日常管理，严格控制进入项目的车流量，禁鸣喇叭。</w:t>
            </w:r>
            <w:r>
              <w:rPr>
                <w:rFonts w:hint="eastAsia" w:ascii="Times New Roman" w:hAnsi="Times New Roman" w:cs="Times New Roman"/>
                <w:color w:val="auto"/>
                <w:sz w:val="21"/>
                <w:szCs w:val="21"/>
                <w:lang w:eastAsia="zh-CN"/>
              </w:rPr>
              <w:t>抽排风、空调机、水泵等各类设备选用低噪声设备，设置在建筑地下层，并对主要噪声设备基础进行减震、隔振处理。</w:t>
            </w:r>
            <w:r>
              <w:rPr>
                <w:rFonts w:hint="default" w:ascii="Times New Roman" w:hAnsi="Times New Roman" w:cs="Times New Roman"/>
                <w:b w:val="0"/>
                <w:bCs w:val="0"/>
                <w:color w:val="000000"/>
                <w:sz w:val="21"/>
                <w:szCs w:val="21"/>
                <w:u w:val="none"/>
              </w:rPr>
              <w:t>。</w:t>
            </w:r>
          </w:p>
          <w:p>
            <w:pPr>
              <w:adjustRightInd w:val="0"/>
              <w:snapToGrid w:val="0"/>
              <w:spacing w:line="360" w:lineRule="auto"/>
              <w:ind w:firstLine="422" w:firstLineChars="200"/>
              <w:jc w:val="left"/>
              <w:rPr>
                <w:rFonts w:hint="eastAsia" w:ascii="宋体" w:hAnsi="宋体"/>
                <w:b/>
                <w:color w:val="000000"/>
                <w:sz w:val="21"/>
                <w:szCs w:val="21"/>
              </w:rPr>
            </w:pPr>
            <w:r>
              <w:rPr>
                <w:rFonts w:hint="eastAsia" w:ascii="宋体" w:hAnsi="宋体"/>
                <w:b/>
                <w:color w:val="000000"/>
                <w:sz w:val="21"/>
                <w:szCs w:val="21"/>
                <w:lang w:val="en-US" w:eastAsia="zh-CN"/>
              </w:rPr>
              <w:t>5、</w:t>
            </w:r>
            <w:r>
              <w:rPr>
                <w:rFonts w:hint="eastAsia" w:ascii="宋体" w:hAnsi="宋体"/>
                <w:b/>
                <w:color w:val="000000"/>
                <w:sz w:val="21"/>
                <w:szCs w:val="21"/>
              </w:rPr>
              <w:t>固废环境影响</w:t>
            </w:r>
          </w:p>
          <w:p>
            <w:pPr>
              <w:adjustRightInd w:val="0"/>
              <w:snapToGrid w:val="0"/>
              <w:spacing w:line="360" w:lineRule="auto"/>
              <w:ind w:firstLine="480"/>
              <w:jc w:val="left"/>
              <w:rPr>
                <w:rFonts w:hint="eastAsia"/>
                <w:bCs/>
                <w:color w:val="000000"/>
                <w:sz w:val="21"/>
                <w:szCs w:val="21"/>
              </w:rPr>
            </w:pPr>
            <w:r>
              <w:rPr>
                <w:rFonts w:hint="eastAsia"/>
                <w:bCs/>
                <w:color w:val="000000"/>
                <w:sz w:val="21"/>
                <w:szCs w:val="21"/>
              </w:rPr>
              <w:t>本项目产生的固体废弃物主要为住户生活垃圾，污水处理设施排放的污泥。项目在住宅区各单元及商铺区域内设置多个垃圾桶，统一收集装袋后置于垃圾房内，由市政环卫部门定期清运，</w:t>
            </w:r>
            <w:r>
              <w:rPr>
                <w:rFonts w:hint="default" w:ascii="Times New Roman" w:hAnsi="Times New Roman" w:cs="Times New Roman"/>
                <w:color w:val="auto"/>
                <w:sz w:val="21"/>
                <w:szCs w:val="21"/>
              </w:rPr>
              <w:t>最终运往城市垃圾填埋场</w:t>
            </w:r>
            <w:r>
              <w:rPr>
                <w:rFonts w:hint="eastAsia"/>
                <w:bCs/>
                <w:color w:val="000000"/>
                <w:sz w:val="21"/>
                <w:szCs w:val="21"/>
              </w:rPr>
              <w:t>。垃圾房基底要有防渗措施，垃圾及时清运。化粪池污泥由小区物管部门委托家政公司定期清运。</w:t>
            </w:r>
          </w:p>
          <w:p>
            <w:pPr>
              <w:adjustRightInd w:val="0"/>
              <w:snapToGrid w:val="0"/>
              <w:spacing w:line="360" w:lineRule="auto"/>
              <w:ind w:firstLine="480"/>
              <w:jc w:val="left"/>
              <w:rPr>
                <w:rFonts w:hint="eastAsia" w:ascii="宋体" w:hAnsi="宋体"/>
                <w:b/>
                <w:color w:val="000000"/>
                <w:sz w:val="21"/>
                <w:szCs w:val="21"/>
              </w:rPr>
            </w:pPr>
            <w:r>
              <w:rPr>
                <w:rFonts w:hint="eastAsia" w:ascii="宋体" w:hAnsi="宋体"/>
                <w:b/>
                <w:color w:val="000000"/>
                <w:sz w:val="21"/>
                <w:szCs w:val="21"/>
                <w:lang w:val="en-US" w:eastAsia="zh-CN"/>
              </w:rPr>
              <w:t>6、</w:t>
            </w:r>
            <w:r>
              <w:rPr>
                <w:rFonts w:hint="eastAsia" w:ascii="宋体" w:hAnsi="宋体"/>
                <w:b/>
                <w:color w:val="000000"/>
                <w:sz w:val="21"/>
                <w:szCs w:val="21"/>
              </w:rPr>
              <w:t>小区准入要求</w:t>
            </w:r>
          </w:p>
          <w:p>
            <w:pPr>
              <w:pStyle w:val="31"/>
              <w:adjustRightInd w:val="0"/>
              <w:snapToGrid w:val="0"/>
              <w:spacing w:line="360" w:lineRule="auto"/>
              <w:rPr>
                <w:rFonts w:hint="eastAsia" w:ascii="Times New Roman" w:hAnsi="Times New Roman" w:cs="Times New Roman"/>
                <w:snapToGrid w:val="0"/>
                <w:color w:val="000000"/>
                <w:kern w:val="0"/>
                <w:sz w:val="21"/>
                <w:szCs w:val="21"/>
                <w:lang w:val="en-US" w:eastAsia="zh-CN" w:bidi="ar-SA"/>
              </w:rPr>
            </w:pPr>
            <w:r>
              <w:rPr>
                <w:rFonts w:hint="eastAsia" w:ascii="Times New Roman" w:hAnsi="Times New Roman" w:cs="Times New Roman"/>
                <w:snapToGrid w:val="0"/>
                <w:color w:val="000000"/>
                <w:kern w:val="0"/>
                <w:sz w:val="21"/>
                <w:szCs w:val="21"/>
                <w:lang w:val="en-US" w:eastAsia="zh-CN" w:bidi="ar-SA"/>
              </w:rPr>
              <w:t>本项目须严格按照《贵州省环境保护条例》第三十二条要求，禁止在城市住宅楼、以居住为主的综合楼内，建设产生油烟污染的饮食业和产生环境噪声、振动污染的娱乐业等经营项目。原有项目必须达到国家和地方污染排放标准排放。在城市住宅楼、以居住为主的综合楼内，禁止在中午和夜间进行产生环境噪声污染的室内装饰、装修等活动。</w:t>
            </w: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p>
            <w:pPr>
              <w:pStyle w:val="31"/>
              <w:adjustRightInd w:val="0"/>
              <w:snapToGrid w:val="0"/>
              <w:ind w:left="0" w:leftChars="0" w:firstLine="0" w:firstLineChars="0"/>
              <w:rPr>
                <w:rFonts w:hint="default" w:ascii="Times New Roman" w:hAnsi="Times New Roman" w:cs="Times New Roman"/>
                <w:snapToGrid w:val="0"/>
                <w:color w:val="000000"/>
                <w:kern w:val="0"/>
                <w:sz w:val="21"/>
                <w:szCs w:val="21"/>
                <w:lang w:val="en-US" w:eastAsia="zh-CN" w:bidi="ar-SA"/>
              </w:rPr>
            </w:pPr>
          </w:p>
        </w:tc>
      </w:tr>
    </w:tbl>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表5  环境影响评价回顾</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60" w:lineRule="auto"/>
              <w:jc w:val="left"/>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环境影响评价的主要环境预测及结论（生态、声、大气、水、振动、电磁、固体废物等）：</w:t>
            </w:r>
          </w:p>
          <w:p>
            <w:pPr>
              <w:spacing w:line="360" w:lineRule="auto"/>
              <w:ind w:firstLine="420" w:firstLineChars="200"/>
              <w:rPr>
                <w:rFonts w:hint="eastAsia" w:ascii="Times New Roman" w:hAnsi="Times New Roman" w:eastAsia="宋体" w:cs="Times New Roman"/>
                <w:b/>
                <w:bCs/>
                <w:sz w:val="21"/>
                <w:szCs w:val="21"/>
                <w:lang w:val="en-US" w:eastAsia="zh-CN"/>
              </w:rPr>
            </w:pPr>
            <w:r>
              <w:rPr>
                <w:rFonts w:hint="eastAsia" w:hAnsi="宋体"/>
                <w:sz w:val="21"/>
                <w:szCs w:val="21"/>
                <w:lang w:eastAsia="zh-CN"/>
              </w:rPr>
              <w:t>西藏国策环保科技股份有限公司</w:t>
            </w:r>
            <w:r>
              <w:rPr>
                <w:sz w:val="21"/>
                <w:szCs w:val="21"/>
              </w:rPr>
              <w:t>编写的</w:t>
            </w:r>
            <w:r>
              <w:rPr>
                <w:rFonts w:hint="eastAsia"/>
                <w:sz w:val="21"/>
                <w:szCs w:val="21"/>
                <w:lang w:eastAsia="zh-CN"/>
              </w:rPr>
              <w:t>《</w:t>
            </w:r>
            <w:r>
              <w:rPr>
                <w:rFonts w:hint="eastAsia" w:ascii="Times New Roman" w:hAnsi="Times New Roman" w:cs="Times New Roman"/>
                <w:color w:val="auto"/>
                <w:spacing w:val="10"/>
                <w:sz w:val="21"/>
                <w:szCs w:val="21"/>
                <w:lang w:eastAsia="zh-CN"/>
              </w:rPr>
              <w:t>贵州·华联城（一期）建设项目环境影响报告书</w:t>
            </w:r>
            <w:r>
              <w:rPr>
                <w:sz w:val="21"/>
                <w:szCs w:val="21"/>
              </w:rPr>
              <w:t>》</w:t>
            </w:r>
            <w:r>
              <w:rPr>
                <w:kern w:val="4"/>
                <w:sz w:val="21"/>
                <w:szCs w:val="21"/>
              </w:rPr>
              <w:t>的主要环境影响评价结论如下：</w:t>
            </w:r>
          </w:p>
          <w:p>
            <w:pPr>
              <w:spacing w:line="360" w:lineRule="auto"/>
              <w:ind w:right="120" w:rightChars="5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施工期对区域环境影响</w:t>
            </w:r>
          </w:p>
          <w:p>
            <w:pPr>
              <w:spacing w:line="360" w:lineRule="auto"/>
              <w:ind w:right="120" w:rightChars="5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 xml:space="preserve">    </w:t>
            </w:r>
            <w:r>
              <w:rPr>
                <w:rFonts w:hint="default" w:ascii="Times New Roman" w:hAnsi="Times New Roman" w:cs="Times New Roman"/>
                <w:bCs/>
                <w:color w:val="auto"/>
                <w:sz w:val="21"/>
                <w:szCs w:val="21"/>
              </w:rPr>
              <w:t>（1）生态环境影响分析</w:t>
            </w:r>
          </w:p>
          <w:p>
            <w:pPr>
              <w:spacing w:line="360" w:lineRule="auto"/>
              <w:ind w:left="120" w:leftChars="50" w:right="120" w:rightChars="50" w:firstLine="420" w:firstLineChars="20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在工程实施过程中，通过优化施工方案等措施，对当地水土流失的影响较小。</w:t>
            </w:r>
          </w:p>
          <w:p>
            <w:pPr>
              <w:spacing w:line="360" w:lineRule="auto"/>
              <w:ind w:left="120" w:leftChars="50" w:right="120" w:rightChars="50"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（2）噪声影响</w:t>
            </w:r>
          </w:p>
          <w:p>
            <w:pPr>
              <w:pStyle w:val="7"/>
              <w:spacing w:line="360" w:lineRule="auto"/>
              <w:ind w:left="120" w:leftChars="50" w:right="120" w:rightChars="50"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施工时采用低噪声设备，严格控制高噪声设备的作业时间、必要时对其采取隔声降噪措施；合理安排施工工期，严格执行相关噪声管理规定和要求。减少噪声对周围环境的影响。</w:t>
            </w:r>
          </w:p>
          <w:p>
            <w:pPr>
              <w:spacing w:line="360" w:lineRule="auto"/>
              <w:ind w:left="120" w:leftChars="50" w:right="120" w:rightChars="50"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（3）大气环境影响</w:t>
            </w:r>
          </w:p>
          <w:p>
            <w:pPr>
              <w:spacing w:line="360" w:lineRule="auto"/>
              <w:ind w:left="120" w:leftChars="50" w:right="120" w:rightChars="50"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施工扬尘对大气环境和周围居民生活影响较大。</w:t>
            </w:r>
            <w:r>
              <w:rPr>
                <w:rFonts w:hint="default" w:ascii="Times New Roman" w:hAnsi="Times New Roman" w:cs="Times New Roman"/>
                <w:color w:val="auto"/>
                <w:sz w:val="21"/>
                <w:szCs w:val="21"/>
                <w:lang w:eastAsia="zh-CN"/>
              </w:rPr>
              <w:t>采取设置封闭围栏和帷幕施工</w:t>
            </w:r>
            <w:r>
              <w:rPr>
                <w:rFonts w:hint="eastAsia" w:ascii="Times New Roman" w:hAnsi="Times New Roman" w:cs="Times New Roman"/>
                <w:color w:val="auto"/>
                <w:sz w:val="21"/>
                <w:szCs w:val="21"/>
                <w:lang w:eastAsia="zh-CN"/>
              </w:rPr>
              <w:t>，土方及时清运，临时露天堆放的原材料进行遮盖，运输车辆覆盖、清洗车轮并低速行驶，硬化施工便道，对弃土表面、道路和露天地表洒水湿润，采取商品混凝土等措施，能有效减小施工扬尘对周围环境的影响。</w:t>
            </w:r>
          </w:p>
          <w:p>
            <w:pPr>
              <w:spacing w:line="360" w:lineRule="auto"/>
              <w:ind w:left="120" w:leftChars="50" w:right="120" w:rightChars="50"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施工动力机械和工程汽车采用合格燃料，加强保养，保持良好的运行状态，禁止超负荷运行，上路行驶工程汽车须符合污染物排放标准，环境空气受影响不大。</w:t>
            </w:r>
          </w:p>
          <w:p>
            <w:pPr>
              <w:spacing w:line="360" w:lineRule="auto"/>
              <w:ind w:left="120" w:leftChars="50" w:right="120" w:rightChars="50"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（4）水环境影响</w:t>
            </w:r>
          </w:p>
          <w:p>
            <w:pPr>
              <w:spacing w:line="360" w:lineRule="auto"/>
              <w:ind w:left="120" w:leftChars="50" w:right="120" w:rightChars="50" w:firstLine="420" w:firstLineChars="200"/>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施工期会产生少量砂石料冲洗及含油废水，经处理后回用，不外排；生活污水设置化粪池处理后排放至市政污水管网，经污水处理厂处理后达标排放。</w:t>
            </w:r>
          </w:p>
          <w:p>
            <w:pPr>
              <w:spacing w:line="360" w:lineRule="auto"/>
              <w:ind w:left="120" w:leftChars="50" w:right="120" w:rightChars="50"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（5）固体废弃物</w:t>
            </w:r>
          </w:p>
          <w:p>
            <w:pPr>
              <w:spacing w:line="360" w:lineRule="auto"/>
              <w:ind w:left="120" w:leftChars="50" w:right="120" w:rightChars="50" w:firstLine="420" w:firstLineChars="200"/>
              <w:rPr>
                <w:rFonts w:hint="default" w:ascii="Times New Roman" w:hAnsi="Times New Roman" w:cs="Times New Roman"/>
                <w:color w:val="auto"/>
                <w:sz w:val="21"/>
                <w:szCs w:val="21"/>
              </w:rPr>
            </w:pPr>
            <w:r>
              <w:rPr>
                <w:bCs/>
                <w:color w:val="000000"/>
                <w:sz w:val="21"/>
                <w:szCs w:val="21"/>
              </w:rPr>
              <w:t>本项目施工期固废主要为少量土石方和建筑垃圾</w:t>
            </w:r>
            <w:r>
              <w:rPr>
                <w:rFonts w:hint="eastAsia"/>
                <w:bCs/>
                <w:color w:val="000000"/>
                <w:sz w:val="21"/>
                <w:szCs w:val="21"/>
              </w:rPr>
              <w:t>和生活垃圾</w:t>
            </w:r>
            <w:r>
              <w:rPr>
                <w:bCs/>
                <w:color w:val="000000"/>
                <w:sz w:val="21"/>
                <w:szCs w:val="21"/>
              </w:rPr>
              <w:t>。</w:t>
            </w:r>
            <w:r>
              <w:rPr>
                <w:color w:val="000000"/>
                <w:sz w:val="21"/>
                <w:szCs w:val="21"/>
              </w:rPr>
              <w:t>通过增设堆放场地与设施，加强管理；弃土</w:t>
            </w:r>
            <w:r>
              <w:rPr>
                <w:rFonts w:hint="eastAsia"/>
                <w:color w:val="000000"/>
                <w:sz w:val="21"/>
                <w:szCs w:val="21"/>
              </w:rPr>
              <w:t>部分回填、用</w:t>
            </w:r>
            <w:r>
              <w:rPr>
                <w:color w:val="000000"/>
                <w:sz w:val="21"/>
                <w:szCs w:val="21"/>
              </w:rPr>
              <w:t>于绿化等生态景观建设，</w:t>
            </w:r>
            <w:r>
              <w:rPr>
                <w:rFonts w:hint="eastAsia"/>
                <w:color w:val="000000"/>
                <w:sz w:val="21"/>
                <w:szCs w:val="21"/>
              </w:rPr>
              <w:t>剩余清运至指定的</w:t>
            </w:r>
            <w:r>
              <w:rPr>
                <w:color w:val="000000"/>
                <w:sz w:val="21"/>
                <w:szCs w:val="21"/>
              </w:rPr>
              <w:t>堆放场。废金属、废钢筋等建筑垃圾回收利用，</w:t>
            </w:r>
            <w:r>
              <w:rPr>
                <w:rFonts w:hint="eastAsia"/>
                <w:color w:val="000000"/>
                <w:sz w:val="21"/>
                <w:szCs w:val="21"/>
              </w:rPr>
              <w:t>不可回收部分</w:t>
            </w:r>
            <w:r>
              <w:rPr>
                <w:color w:val="000000"/>
                <w:sz w:val="21"/>
                <w:szCs w:val="21"/>
              </w:rPr>
              <w:t>运至</w:t>
            </w:r>
            <w:r>
              <w:rPr>
                <w:rFonts w:hint="eastAsia"/>
                <w:color w:val="000000"/>
                <w:sz w:val="21"/>
                <w:szCs w:val="21"/>
              </w:rPr>
              <w:t>当地政府</w:t>
            </w:r>
            <w:r>
              <w:rPr>
                <w:color w:val="000000"/>
                <w:sz w:val="21"/>
                <w:szCs w:val="21"/>
              </w:rPr>
              <w:t>指定的建筑垃圾堆放场。因此，该项目产生的固废对外部环境基本无影响。</w:t>
            </w:r>
          </w:p>
          <w:p>
            <w:pPr>
              <w:spacing w:line="360" w:lineRule="auto"/>
              <w:ind w:right="120" w:rightChars="50"/>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w:t>
            </w:r>
            <w:r>
              <w:rPr>
                <w:rFonts w:hint="eastAsia" w:ascii="Times New Roman" w:hAnsi="Times New Roman" w:cs="Times New Roman"/>
                <w:b/>
                <w:bCs/>
                <w:color w:val="auto"/>
                <w:sz w:val="21"/>
                <w:szCs w:val="21"/>
                <w:lang w:val="en-US" w:eastAsia="zh-CN"/>
              </w:rPr>
              <w:t>营运期</w:t>
            </w:r>
            <w:r>
              <w:rPr>
                <w:rFonts w:hint="default" w:ascii="Times New Roman" w:hAnsi="Times New Roman" w:cs="Times New Roman"/>
                <w:b/>
                <w:bCs/>
                <w:color w:val="auto"/>
                <w:sz w:val="21"/>
                <w:szCs w:val="21"/>
              </w:rPr>
              <w:t>对区域环境影响</w:t>
            </w:r>
          </w:p>
          <w:p>
            <w:pPr>
              <w:spacing w:line="360" w:lineRule="auto"/>
              <w:ind w:left="120" w:leftChars="50" w:right="120" w:rightChars="50"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废水环境影响分析</w:t>
            </w:r>
          </w:p>
          <w:p>
            <w:pPr>
              <w:spacing w:line="360" w:lineRule="auto"/>
              <w:ind w:firstLine="420" w:firstLineChars="20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项目产生的废水经化粪池处理后，达到《污水综合排放标准》三级标准后进入城市污水管网，送至</w:t>
            </w:r>
            <w:r>
              <w:rPr>
                <w:rFonts w:hint="eastAsia" w:ascii="Times New Roman" w:hAnsi="Times New Roman" w:cs="Times New Roman"/>
                <w:b w:val="0"/>
                <w:bCs w:val="0"/>
                <w:color w:val="auto"/>
                <w:sz w:val="21"/>
                <w:szCs w:val="21"/>
                <w:highlight w:val="none"/>
                <w:lang w:eastAsia="zh-CN"/>
              </w:rPr>
              <w:t>下午屯污水处理厂</w:t>
            </w:r>
            <w:r>
              <w:rPr>
                <w:rFonts w:hint="default" w:ascii="Times New Roman" w:hAnsi="Times New Roman" w:cs="Times New Roman"/>
                <w:b w:val="0"/>
                <w:bCs w:val="0"/>
                <w:color w:val="auto"/>
                <w:sz w:val="21"/>
                <w:szCs w:val="21"/>
                <w:highlight w:val="none"/>
              </w:rPr>
              <w:t>处理后达标排</w:t>
            </w:r>
            <w:r>
              <w:rPr>
                <w:rFonts w:hint="default" w:ascii="Times New Roman" w:hAnsi="Times New Roman" w:cs="Times New Roman"/>
                <w:b w:val="0"/>
                <w:bCs w:val="0"/>
                <w:color w:val="auto"/>
                <w:sz w:val="21"/>
                <w:szCs w:val="21"/>
                <w:highlight w:val="none"/>
                <w:lang w:eastAsia="zh-CN"/>
              </w:rPr>
              <w:t>放</w:t>
            </w:r>
            <w:r>
              <w:rPr>
                <w:rFonts w:hint="default" w:ascii="Times New Roman" w:hAnsi="Times New Roman" w:cs="Times New Roman"/>
                <w:b w:val="0"/>
                <w:bCs w:val="0"/>
                <w:color w:val="auto"/>
                <w:sz w:val="21"/>
                <w:szCs w:val="21"/>
                <w:highlight w:val="none"/>
              </w:rPr>
              <w:t>。</w:t>
            </w:r>
          </w:p>
          <w:p>
            <w:pPr>
              <w:spacing w:line="360" w:lineRule="auto"/>
              <w:ind w:firstLine="420" w:firstLineChars="200"/>
              <w:rPr>
                <w:rFonts w:hint="eastAsia"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highlight w:val="none"/>
              </w:rPr>
              <w:t>因此，本项目产生的污水在通过处理后，对地表水环境质量影响小。</w:t>
            </w:r>
          </w:p>
          <w:p>
            <w:pPr>
              <w:spacing w:line="360" w:lineRule="auto"/>
              <w:ind w:left="120" w:leftChars="50" w:right="120" w:rightChars="50"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固废影响分析</w:t>
            </w:r>
          </w:p>
          <w:p>
            <w:pPr>
              <w:spacing w:line="360" w:lineRule="auto"/>
              <w:ind w:left="120" w:leftChars="50" w:right="120" w:rightChars="5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本项目营运时，生活垃圾通过集中收集后，通过环卫部门统一清运，最终运往城市垃圾填埋场，本项目产生的固体废弃物不会对环境造成影响。</w:t>
            </w:r>
          </w:p>
          <w:p>
            <w:pPr>
              <w:spacing w:line="360" w:lineRule="auto"/>
              <w:ind w:left="120" w:leftChars="50" w:right="120" w:rightChars="50"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声环境影响分析</w:t>
            </w:r>
          </w:p>
          <w:p>
            <w:pPr>
              <w:spacing w:line="360" w:lineRule="auto"/>
              <w:ind w:left="120" w:leftChars="50" w:right="120" w:rightChars="50" w:firstLine="420" w:firstLineChars="2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高噪声设备设置在建筑地下层，加强车辆噪声和商业噪声的管理，加强宣传教育，声环境影响较小。</w:t>
            </w:r>
          </w:p>
          <w:p>
            <w:pPr>
              <w:numPr>
                <w:ilvl w:val="0"/>
                <w:numId w:val="2"/>
              </w:numPr>
              <w:spacing w:line="360" w:lineRule="auto"/>
              <w:ind w:left="120" w:leftChars="50" w:right="120" w:rightChars="50" w:firstLine="422" w:firstLineChars="20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大气污染物环境影响分析</w:t>
            </w:r>
          </w:p>
          <w:p>
            <w:pPr>
              <w:numPr>
                <w:ilvl w:val="0"/>
                <w:numId w:val="0"/>
              </w:numPr>
              <w:spacing w:line="360" w:lineRule="auto"/>
              <w:ind w:right="120" w:rightChars="50"/>
              <w:rPr>
                <w:rFonts w:hint="default" w:ascii="Times New Roman" w:hAnsi="Times New Roman" w:cs="Times New Roman"/>
                <w:color w:val="000000"/>
                <w:kern w:val="0"/>
                <w:sz w:val="21"/>
                <w:szCs w:val="21"/>
              </w:rPr>
            </w:pPr>
            <w:r>
              <w:rPr>
                <w:rFonts w:hint="eastAsia" w:ascii="Times New Roman" w:hAnsi="Times New Roman" w:cs="Times New Roman"/>
                <w:color w:val="auto"/>
                <w:sz w:val="21"/>
                <w:szCs w:val="21"/>
                <w:lang w:val="en-US" w:eastAsia="zh-CN"/>
              </w:rPr>
              <w:t xml:space="preserve">     家庭厨房油烟采用</w:t>
            </w:r>
            <w:r>
              <w:rPr>
                <w:rFonts w:hint="default" w:ascii="Times New Roman" w:hAnsi="Times New Roman" w:cs="Times New Roman"/>
                <w:color w:val="auto"/>
                <w:sz w:val="21"/>
                <w:szCs w:val="21"/>
              </w:rPr>
              <w:t>家用抽油烟机</w:t>
            </w:r>
            <w:r>
              <w:rPr>
                <w:rFonts w:hint="eastAsia" w:ascii="Times New Roman" w:hAnsi="Times New Roman" w:cs="Times New Roman"/>
                <w:color w:val="auto"/>
                <w:sz w:val="21"/>
                <w:szCs w:val="21"/>
                <w:lang w:eastAsia="zh-CN"/>
              </w:rPr>
              <w:t>处理，由内设油烟道至屋顶排放；地下车库进行抽排通风，</w:t>
            </w:r>
            <w:r>
              <w:rPr>
                <w:rFonts w:hint="default" w:ascii="Times New Roman" w:hAnsi="Times New Roman" w:cs="Times New Roman"/>
                <w:color w:val="000000"/>
                <w:kern w:val="0"/>
                <w:sz w:val="21"/>
                <w:szCs w:val="21"/>
              </w:rPr>
              <w:t>通过竖向井引至地面排放，排气筒高于地面</w:t>
            </w:r>
            <w:r>
              <w:rPr>
                <w:rFonts w:hint="eastAsia"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rPr>
              <w:t>面向绿化带，背离居民区。地</w:t>
            </w:r>
            <w:r>
              <w:rPr>
                <w:rFonts w:hint="eastAsia" w:ascii="Times New Roman" w:hAnsi="Times New Roman" w:cs="Times New Roman"/>
                <w:color w:val="000000"/>
                <w:kern w:val="0"/>
                <w:sz w:val="21"/>
                <w:szCs w:val="21"/>
                <w:lang w:eastAsia="zh-CN"/>
              </w:rPr>
              <w:t>面</w:t>
            </w:r>
            <w:r>
              <w:rPr>
                <w:rFonts w:hint="default" w:ascii="Times New Roman" w:hAnsi="Times New Roman" w:cs="Times New Roman"/>
                <w:color w:val="000000"/>
                <w:kern w:val="0"/>
                <w:sz w:val="21"/>
                <w:szCs w:val="21"/>
              </w:rPr>
              <w:t>空气流通性好，汽车产生的尾气扩散快，影响小。</w:t>
            </w:r>
          </w:p>
          <w:p>
            <w:pPr>
              <w:spacing w:line="360" w:lineRule="auto"/>
              <w:ind w:left="120" w:leftChars="50" w:right="120" w:rightChars="50" w:firstLine="422" w:firstLineChars="200"/>
              <w:rPr>
                <w:rFonts w:hint="eastAsia"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eastAsia="zh-CN"/>
              </w:rPr>
              <w:t>结论</w:t>
            </w:r>
          </w:p>
          <w:p>
            <w:pPr>
              <w:spacing w:line="360" w:lineRule="auto"/>
              <w:ind w:left="120" w:leftChars="50" w:right="120" w:rightChars="50" w:firstLine="420" w:firstLineChars="20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符合国家产业政策，符合兴义市城市总体规划，建设单位只要严格遵守“三同时”管理制度，建立健全环境管理制度，严格按有关法律法规及本报告表提出的要求落实污染物防止措施和生态保护措施，从环境保护的角度而言，项目的建设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各级环境保护行政部门的审批意见（国家、省、行业）：</w:t>
            </w:r>
          </w:p>
          <w:p>
            <w:pPr>
              <w:pStyle w:val="9"/>
              <w:adjustRightInd w:val="0"/>
              <w:snapToGrid w:val="0"/>
              <w:spacing w:after="0" w:line="360" w:lineRule="auto"/>
              <w:ind w:left="0" w:leftChars="0" w:firstLine="434" w:firstLineChars="207"/>
              <w:rPr>
                <w:rFonts w:hint="eastAsia"/>
                <w:sz w:val="21"/>
                <w:szCs w:val="21"/>
                <w:lang w:eastAsia="zh-CN"/>
              </w:rPr>
            </w:pPr>
            <w:r>
              <w:rPr>
                <w:rFonts w:hint="eastAsia"/>
                <w:sz w:val="21"/>
                <w:szCs w:val="21"/>
                <w:lang w:eastAsia="zh-CN"/>
              </w:rPr>
              <w:t>兴义市环境保护局同意该项目按照《</w:t>
            </w:r>
            <w:r>
              <w:rPr>
                <w:rFonts w:hint="eastAsia" w:ascii="Times New Roman" w:hAnsi="Times New Roman" w:cs="Times New Roman"/>
                <w:color w:val="auto"/>
                <w:spacing w:val="10"/>
                <w:sz w:val="21"/>
                <w:szCs w:val="21"/>
                <w:lang w:eastAsia="zh-CN"/>
              </w:rPr>
              <w:t>贵州·华联城（一期）建设项目环境影响报告书</w:t>
            </w:r>
            <w:r>
              <w:rPr>
                <w:rFonts w:hint="eastAsia"/>
                <w:sz w:val="21"/>
                <w:szCs w:val="21"/>
                <w:lang w:eastAsia="zh-CN"/>
              </w:rPr>
              <w:t>》</w:t>
            </w:r>
            <w:r>
              <w:rPr>
                <w:sz w:val="21"/>
                <w:szCs w:val="21"/>
              </w:rPr>
              <w:t xml:space="preserve"> </w:t>
            </w:r>
            <w:r>
              <w:rPr>
                <w:rFonts w:hint="eastAsia"/>
                <w:sz w:val="21"/>
                <w:szCs w:val="21"/>
                <w:lang w:eastAsia="zh-CN"/>
              </w:rPr>
              <w:t>所列的项目性质、规模、地点、环境保护措施在拟选址进行建设。审批文件号为“兴市环审</w:t>
            </w:r>
            <w:r>
              <w:rPr>
                <w:rFonts w:hint="eastAsia"/>
                <w:sz w:val="21"/>
                <w:szCs w:val="21"/>
                <w:lang w:val="en-US" w:eastAsia="zh-CN"/>
              </w:rPr>
              <w:t>[2014]31号</w:t>
            </w:r>
            <w:r>
              <w:rPr>
                <w:rFonts w:hint="eastAsia"/>
                <w:sz w:val="21"/>
                <w:szCs w:val="21"/>
                <w:lang w:eastAsia="zh-CN"/>
              </w:rPr>
              <w:t>”文。</w:t>
            </w: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eastAsia"/>
                <w:sz w:val="21"/>
                <w:szCs w:val="21"/>
                <w:lang w:eastAsia="zh-CN"/>
              </w:rPr>
            </w:pPr>
          </w:p>
          <w:p>
            <w:pPr>
              <w:pStyle w:val="9"/>
              <w:adjustRightInd w:val="0"/>
              <w:snapToGrid w:val="0"/>
              <w:spacing w:after="0" w:line="360" w:lineRule="auto"/>
              <w:ind w:left="0" w:leftChars="0" w:firstLine="434" w:firstLineChars="207"/>
              <w:rPr>
                <w:rFonts w:hint="default"/>
                <w:sz w:val="21"/>
                <w:szCs w:val="21"/>
                <w:lang w:val="en-US" w:eastAsia="zh-CN"/>
              </w:rPr>
            </w:pPr>
          </w:p>
        </w:tc>
      </w:tr>
    </w:tbl>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表6  环境保护措施执行情况</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080"/>
        <w:gridCol w:w="3840"/>
        <w:gridCol w:w="156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464" w:type="dxa"/>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spacing w:line="240" w:lineRule="auto"/>
              <w:jc w:val="center"/>
              <mc:AlternateContent>
                <mc:Choice Requires="wpsCustomData">
                  <wpsCustomData:diagonalParaType/>
                </mc:Choice>
              </mc:AlternateConten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阶段</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项目</w:t>
            </w:r>
          </w:p>
        </w:tc>
        <w:tc>
          <w:tcPr>
            <w:tcW w:w="384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环境影响报告及审批文件中要求的环境保护措施</w:t>
            </w:r>
          </w:p>
        </w:tc>
        <w:tc>
          <w:tcPr>
            <w:tcW w:w="156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环境保护措施的落实情况</w:t>
            </w:r>
          </w:p>
        </w:tc>
        <w:tc>
          <w:tcPr>
            <w:tcW w:w="1665"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384"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设计阶段</w:t>
            </w:r>
          </w:p>
        </w:tc>
        <w:tc>
          <w:tcPr>
            <w:tcW w:w="108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生态</w:t>
            </w:r>
          </w:p>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384" w:type="dxa"/>
            <w:vMerge w:val="continue"/>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p>
        </w:tc>
        <w:tc>
          <w:tcPr>
            <w:tcW w:w="108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w:t>
            </w:r>
          </w:p>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384" w:type="dxa"/>
            <w:vMerge w:val="continue"/>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p>
        </w:tc>
        <w:tc>
          <w:tcPr>
            <w:tcW w:w="108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社会</w:t>
            </w:r>
          </w:p>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w:t>
            </w:r>
          </w:p>
        </w:tc>
        <w:tc>
          <w:tcPr>
            <w:tcW w:w="156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84"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施工阶段</w:t>
            </w:r>
          </w:p>
        </w:tc>
        <w:tc>
          <w:tcPr>
            <w:tcW w:w="108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生态</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spacing w:line="24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本项目施工期的开挖土方石、基础施工等问题，对生态环境有一定影响，主要表现为对水土流失的影响。随着本项目竣工后这些影响随之消失。</w:t>
            </w:r>
          </w:p>
        </w:tc>
        <w:tc>
          <w:tcPr>
            <w:tcW w:w="1560" w:type="dxa"/>
            <w:vAlign w:val="center"/>
          </w:tcPr>
          <w:p>
            <w:pPr>
              <w:spacing w:line="240" w:lineRule="auto"/>
              <w:jc w:val="center"/>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color w:val="auto"/>
                <w:sz w:val="21"/>
                <w:szCs w:val="21"/>
                <w:lang w:val="en-US" w:eastAsia="zh-CN"/>
              </w:rPr>
              <w:t>要求的环保措施在施工期已落实</w:t>
            </w:r>
          </w:p>
        </w:tc>
        <w:tc>
          <w:tcPr>
            <w:tcW w:w="1665"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对生态环境不会产生明显影响。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9" w:hRule="atLeast"/>
        </w:trPr>
        <w:tc>
          <w:tcPr>
            <w:tcW w:w="384" w:type="dxa"/>
            <w:vMerge w:val="continue"/>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p>
        </w:tc>
        <w:tc>
          <w:tcPr>
            <w:tcW w:w="1080"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施工时采用低噪声设备，严格控制高噪声设备的作业时间、必要时对其采取隔声降噪措施；合理安排施工工期，严格执行相关噪声管理规定和要求。</w:t>
            </w:r>
          </w:p>
        </w:tc>
        <w:tc>
          <w:tcPr>
            <w:tcW w:w="1560" w:type="dxa"/>
            <w:vAlign w:val="center"/>
          </w:tcPr>
          <w:p>
            <w:pPr>
              <w:numPr>
                <w:ilvl w:val="0"/>
                <w:numId w:val="0"/>
              </w:num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要求的环保措施在施工期已落实</w:t>
            </w:r>
          </w:p>
        </w:tc>
        <w:tc>
          <w:tcPr>
            <w:tcW w:w="1665"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可有效减轻施工噪声对周围声环境的影响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4" w:hRule="atLeast"/>
        </w:trPr>
        <w:tc>
          <w:tcPr>
            <w:tcW w:w="384" w:type="dxa"/>
            <w:vMerge w:val="continue"/>
            <w:vAlign w:val="center"/>
          </w:tcPr>
          <w:p>
            <w:pPr>
              <w:spacing w:line="240" w:lineRule="auto"/>
              <w:jc w:val="left"/>
              <w:rPr>
                <w:sz w:val="21"/>
                <w:szCs w:val="21"/>
              </w:rPr>
            </w:pPr>
          </w:p>
        </w:tc>
        <w:tc>
          <w:tcPr>
            <w:tcW w:w="1080" w:type="dxa"/>
            <w:vMerge w:val="continue"/>
            <w:vAlign w:val="center"/>
          </w:tcPr>
          <w:p>
            <w:pPr>
              <w:spacing w:line="240" w:lineRule="auto"/>
              <w:jc w:val="left"/>
              <w:rPr>
                <w:sz w:val="21"/>
                <w:szCs w:val="21"/>
              </w:rPr>
            </w:pPr>
          </w:p>
        </w:tc>
        <w:tc>
          <w:tcPr>
            <w:tcW w:w="3840" w:type="dxa"/>
            <w:vAlign w:val="center"/>
          </w:tcPr>
          <w:p>
            <w:pPr>
              <w:numPr>
                <w:ilvl w:val="0"/>
                <w:numId w:val="0"/>
              </w:numPr>
              <w:spacing w:line="240" w:lineRule="auto"/>
              <w:jc w:val="left"/>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施工扬尘对大气环境和周围居民生活影响较大。采取设置封闭围栏和帷幕施工，土方及时清运，临时露天堆放的原材料进行遮盖，运输车辆覆盖、清洗车轮并低速行驶，硬化施工便道，对弃土表面、道路和露天地表洒水湿润，采取商品混凝土等措施。</w:t>
            </w:r>
          </w:p>
          <w:p>
            <w:pPr>
              <w:numPr>
                <w:ilvl w:val="0"/>
                <w:numId w:val="0"/>
              </w:numPr>
              <w:spacing w:line="240" w:lineRule="auto"/>
              <w:jc w:val="lef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施工动力机械和工程汽车采用合格燃料，加强保养，保持良好的运行状态，禁止超负荷运行，上路行驶工程汽车须符合污染物排放标准。</w:t>
            </w:r>
          </w:p>
        </w:tc>
        <w:tc>
          <w:tcPr>
            <w:tcW w:w="1560" w:type="dxa"/>
            <w:vAlign w:val="center"/>
          </w:tcPr>
          <w:p>
            <w:pPr>
              <w:numPr>
                <w:ilvl w:val="0"/>
                <w:numId w:val="0"/>
              </w:num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要求的环保措施在施工期已落实</w:t>
            </w:r>
          </w:p>
        </w:tc>
        <w:tc>
          <w:tcPr>
            <w:tcW w:w="1665" w:type="dxa"/>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可有效减轻施工扬尘对周围大气环境的影响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84" w:type="dxa"/>
            <w:vMerge w:val="continue"/>
            <w:vAlign w:val="center"/>
          </w:tcPr>
          <w:p>
            <w:pPr>
              <w:spacing w:line="240" w:lineRule="auto"/>
              <w:jc w:val="left"/>
              <w:rPr>
                <w:rFonts w:hint="default" w:ascii="Times New Roman" w:hAnsi="Times New Roman" w:cs="Times New Roman"/>
                <w:color w:val="auto"/>
                <w:sz w:val="21"/>
                <w:szCs w:val="21"/>
              </w:rPr>
            </w:pPr>
          </w:p>
        </w:tc>
        <w:tc>
          <w:tcPr>
            <w:tcW w:w="1080" w:type="dxa"/>
            <w:vMerge w:val="continue"/>
            <w:vAlign w:val="center"/>
          </w:tcPr>
          <w:p>
            <w:pPr>
              <w:spacing w:line="240" w:lineRule="auto"/>
              <w:jc w:val="left"/>
              <w:rPr>
                <w:rFonts w:hint="default" w:ascii="Times New Roman" w:hAnsi="Times New Roman" w:cs="Times New Roman"/>
                <w:color w:val="auto"/>
                <w:sz w:val="21"/>
                <w:szCs w:val="21"/>
              </w:rPr>
            </w:pPr>
          </w:p>
        </w:tc>
        <w:tc>
          <w:tcPr>
            <w:tcW w:w="3840" w:type="dxa"/>
            <w:vAlign w:val="center"/>
          </w:tcPr>
          <w:p>
            <w:pPr>
              <w:spacing w:line="360" w:lineRule="auto"/>
              <w:ind w:right="120" w:rightChars="50"/>
              <w:rPr>
                <w:rFonts w:hint="eastAsia"/>
                <w:color w:val="000000"/>
                <w:sz w:val="21"/>
                <w:szCs w:val="21"/>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施工</w:t>
            </w:r>
            <w:r>
              <w:rPr>
                <w:rFonts w:hint="eastAsia" w:ascii="Times New Roman" w:hAnsi="Times New Roman" w:cs="Times New Roman"/>
                <w:color w:val="auto"/>
                <w:sz w:val="21"/>
                <w:szCs w:val="21"/>
                <w:lang w:eastAsia="zh-CN"/>
              </w:rPr>
              <w:t>废水沉淀后回用</w:t>
            </w:r>
            <w:r>
              <w:rPr>
                <w:rFonts w:hint="default" w:ascii="Times New Roman" w:hAnsi="Times New Roman" w:cs="Times New Roman"/>
                <w:color w:val="auto"/>
                <w:sz w:val="21"/>
                <w:szCs w:val="21"/>
              </w:rPr>
              <w:t>；</w:t>
            </w:r>
            <w:r>
              <w:rPr>
                <w:rFonts w:hint="eastAsia"/>
                <w:color w:val="000000"/>
                <w:sz w:val="21"/>
                <w:szCs w:val="21"/>
              </w:rPr>
              <w:t>生活污水</w:t>
            </w:r>
            <w:r>
              <w:rPr>
                <w:rFonts w:hint="eastAsia"/>
                <w:color w:val="000000"/>
                <w:sz w:val="21"/>
                <w:szCs w:val="21"/>
                <w:lang w:eastAsia="zh-CN"/>
              </w:rPr>
              <w:t>设置化粪池处理后</w:t>
            </w:r>
            <w:r>
              <w:rPr>
                <w:rFonts w:hint="eastAsia"/>
                <w:color w:val="000000"/>
                <w:sz w:val="21"/>
                <w:szCs w:val="21"/>
              </w:rPr>
              <w:t>排放至市政污水管网，经污水处理厂处理后达标排放。</w:t>
            </w:r>
          </w:p>
          <w:p>
            <w:pPr>
              <w:numPr>
                <w:ilvl w:val="0"/>
                <w:numId w:val="0"/>
              </w:numPr>
              <w:spacing w:line="240" w:lineRule="auto"/>
              <w:jc w:val="left"/>
              <w:rPr>
                <w:rFonts w:hint="default" w:ascii="Times New Roman" w:hAnsi="Times New Roman" w:cs="Times New Roman"/>
                <w:color w:val="auto"/>
                <w:sz w:val="21"/>
                <w:szCs w:val="21"/>
              </w:rPr>
            </w:pPr>
          </w:p>
          <w:p>
            <w:pPr>
              <w:numPr>
                <w:ilvl w:val="0"/>
                <w:numId w:val="0"/>
              </w:numPr>
              <w:spacing w:line="240" w:lineRule="auto"/>
              <w:jc w:val="left"/>
              <w:rPr>
                <w:rFonts w:hint="default" w:ascii="Times New Roman" w:hAnsi="Times New Roman" w:cs="Times New Roman"/>
                <w:color w:val="auto"/>
                <w:sz w:val="21"/>
                <w:szCs w:val="21"/>
              </w:rPr>
            </w:pPr>
          </w:p>
          <w:p>
            <w:pPr>
              <w:numPr>
                <w:ilvl w:val="0"/>
                <w:numId w:val="0"/>
              </w:numPr>
              <w:spacing w:line="240" w:lineRule="auto"/>
              <w:jc w:val="left"/>
              <w:rPr>
                <w:rFonts w:hint="default" w:ascii="Times New Roman" w:hAnsi="Times New Roman" w:cs="Times New Roman"/>
                <w:color w:val="auto"/>
                <w:sz w:val="21"/>
                <w:szCs w:val="21"/>
              </w:rPr>
            </w:pPr>
          </w:p>
          <w:p>
            <w:pPr>
              <w:numPr>
                <w:ilvl w:val="0"/>
                <w:numId w:val="0"/>
              </w:numPr>
              <w:spacing w:line="240" w:lineRule="auto"/>
              <w:jc w:val="left"/>
              <w:rPr>
                <w:rFonts w:hint="default" w:ascii="Times New Roman" w:hAnsi="Times New Roman" w:cs="Times New Roman"/>
                <w:color w:val="auto"/>
                <w:sz w:val="21"/>
                <w:szCs w:val="21"/>
              </w:rPr>
            </w:pPr>
          </w:p>
        </w:tc>
        <w:tc>
          <w:tcPr>
            <w:tcW w:w="1560" w:type="dxa"/>
            <w:vAlign w:val="center"/>
          </w:tcPr>
          <w:p>
            <w:pPr>
              <w:numPr>
                <w:ilvl w:val="0"/>
                <w:numId w:val="0"/>
              </w:num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要求的环保措施在施工期已落实</w:t>
            </w:r>
          </w:p>
        </w:tc>
        <w:tc>
          <w:tcPr>
            <w:tcW w:w="1665" w:type="dxa"/>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可有效减轻施工废水对周围水环境的影响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7" w:hRule="atLeast"/>
        </w:trPr>
        <w:tc>
          <w:tcPr>
            <w:tcW w:w="384" w:type="dxa"/>
            <w:vMerge w:val="continue"/>
            <w:vAlign w:val="center"/>
          </w:tcPr>
          <w:p>
            <w:pPr>
              <w:spacing w:line="240" w:lineRule="auto"/>
              <w:jc w:val="left"/>
              <w:rPr>
                <w:rFonts w:hint="default" w:ascii="Times New Roman" w:hAnsi="Times New Roman" w:cs="Times New Roman"/>
                <w:color w:val="auto"/>
                <w:sz w:val="21"/>
                <w:szCs w:val="21"/>
              </w:rPr>
            </w:pPr>
          </w:p>
        </w:tc>
        <w:tc>
          <w:tcPr>
            <w:tcW w:w="1080" w:type="dxa"/>
            <w:vMerge w:val="continue"/>
            <w:vAlign w:val="center"/>
          </w:tcPr>
          <w:p>
            <w:pPr>
              <w:spacing w:line="240" w:lineRule="auto"/>
              <w:jc w:val="left"/>
              <w:rPr>
                <w:rFonts w:hint="default" w:ascii="Times New Roman" w:hAnsi="Times New Roman" w:cs="Times New Roman"/>
                <w:color w:val="auto"/>
                <w:sz w:val="21"/>
                <w:szCs w:val="21"/>
              </w:rPr>
            </w:pPr>
          </w:p>
        </w:tc>
        <w:tc>
          <w:tcPr>
            <w:tcW w:w="3840" w:type="dxa"/>
            <w:vAlign w:val="center"/>
          </w:tcPr>
          <w:p>
            <w:pPr>
              <w:numPr>
                <w:ilvl w:val="0"/>
                <w:numId w:val="0"/>
              </w:numPr>
              <w:spacing w:line="240" w:lineRule="auto"/>
              <w:jc w:val="left"/>
              <w:rPr>
                <w:rFonts w:hint="default" w:ascii="Times New Roman" w:hAnsi="Times New Roman" w:cs="Times New Roman"/>
                <w:color w:val="auto"/>
                <w:sz w:val="21"/>
                <w:szCs w:val="21"/>
                <w:lang w:eastAsia="zh-CN"/>
              </w:rPr>
            </w:pPr>
            <w:r>
              <w:rPr>
                <w:rFonts w:hint="eastAsia" w:ascii="Times New Roman" w:hAnsi="Times New Roman" w:cs="Times New Roman"/>
                <w:bCs/>
                <w:color w:val="auto"/>
                <w:sz w:val="21"/>
                <w:szCs w:val="21"/>
                <w:lang w:val="en-US" w:eastAsia="zh-CN"/>
              </w:rPr>
              <w:t xml:space="preserve">    </w:t>
            </w:r>
            <w:r>
              <w:rPr>
                <w:rFonts w:hint="default" w:ascii="Times New Roman" w:hAnsi="Times New Roman" w:cs="Times New Roman"/>
                <w:bCs/>
                <w:color w:val="auto"/>
                <w:sz w:val="21"/>
                <w:szCs w:val="21"/>
              </w:rPr>
              <w:t>本</w:t>
            </w:r>
            <w:r>
              <w:rPr>
                <w:rFonts w:hint="eastAsia" w:ascii="Times New Roman" w:hAnsi="Times New Roman" w:cs="Times New Roman"/>
                <w:bCs/>
                <w:color w:val="auto"/>
                <w:sz w:val="21"/>
                <w:szCs w:val="21"/>
                <w:lang w:eastAsia="zh-CN"/>
              </w:rPr>
              <w:t>施工固体废弃物除用于本工程回填外，多余部分</w:t>
            </w:r>
            <w:r>
              <w:rPr>
                <w:rFonts w:hint="eastAsia" w:ascii="Times New Roman" w:hAnsi="Times New Roman" w:cs="Times New Roman"/>
                <w:color w:val="auto"/>
                <w:sz w:val="21"/>
                <w:szCs w:val="21"/>
                <w:lang w:eastAsia="zh-CN"/>
              </w:rPr>
              <w:t>统一送往</w:t>
            </w:r>
            <w:r>
              <w:rPr>
                <w:rFonts w:hint="default" w:ascii="Times New Roman" w:hAnsi="Times New Roman" w:cs="Times New Roman"/>
                <w:color w:val="auto"/>
                <w:sz w:val="21"/>
                <w:szCs w:val="21"/>
              </w:rPr>
              <w:t>政府指定的建筑垃圾堆放场。</w:t>
            </w:r>
          </w:p>
        </w:tc>
        <w:tc>
          <w:tcPr>
            <w:tcW w:w="1560" w:type="dxa"/>
            <w:vAlign w:val="center"/>
          </w:tcPr>
          <w:p>
            <w:pPr>
              <w:numPr>
                <w:ilvl w:val="0"/>
                <w:numId w:val="0"/>
              </w:num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要求的环保措施在施工期已落实</w:t>
            </w:r>
          </w:p>
        </w:tc>
        <w:tc>
          <w:tcPr>
            <w:tcW w:w="1665" w:type="dxa"/>
            <w:vAlign w:val="center"/>
          </w:tcPr>
          <w:p>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可有效减轻施工固废对周围环境的污染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trPr>
        <w:tc>
          <w:tcPr>
            <w:tcW w:w="384" w:type="dxa"/>
            <w:vMerge w:val="continue"/>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p>
        </w:tc>
        <w:tc>
          <w:tcPr>
            <w:tcW w:w="108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社会</w:t>
            </w:r>
          </w:p>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jc w:val="center"/>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b/>
                <w:bCs/>
                <w:color w:val="auto"/>
                <w:sz w:val="21"/>
                <w:szCs w:val="21"/>
                <w:lang w:val="en-US" w:eastAsia="zh-CN"/>
              </w:rPr>
              <w:t>/</w:t>
            </w:r>
          </w:p>
        </w:tc>
        <w:tc>
          <w:tcPr>
            <w:tcW w:w="1560"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1665" w:type="dxa"/>
            <w:vAlign w:val="center"/>
          </w:tcPr>
          <w:p>
            <w:pPr>
              <w:spacing w:line="24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4" w:hRule="atLeast"/>
        </w:trPr>
        <w:tc>
          <w:tcPr>
            <w:tcW w:w="384"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运行阶段</w:t>
            </w:r>
          </w:p>
        </w:tc>
        <w:tc>
          <w:tcPr>
            <w:tcW w:w="108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生态</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spacing w:line="24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施工期对当地植被有一定的破坏，但项目建成后，植被覆盖率有很大的增加</w:t>
            </w:r>
            <w:r>
              <w:rPr>
                <w:rFonts w:hint="eastAsia" w:ascii="Times New Roman" w:hAnsi="Times New Roman" w:cs="Times New Roman"/>
                <w:color w:val="auto"/>
                <w:sz w:val="21"/>
                <w:szCs w:val="21"/>
                <w:lang w:eastAsia="zh-CN"/>
              </w:rPr>
              <w:t>；</w:t>
            </w:r>
          </w:p>
        </w:tc>
        <w:tc>
          <w:tcPr>
            <w:tcW w:w="156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已落实</w:t>
            </w:r>
          </w:p>
        </w:tc>
        <w:tc>
          <w:tcPr>
            <w:tcW w:w="1665"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取到生态补偿修复作用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3" w:hRule="atLeast"/>
        </w:trPr>
        <w:tc>
          <w:tcPr>
            <w:tcW w:w="384" w:type="dxa"/>
            <w:vMerge w:val="continue"/>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p>
        </w:tc>
        <w:tc>
          <w:tcPr>
            <w:tcW w:w="1080"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jc w:val="left"/>
              <w:rPr>
                <w:rFonts w:hint="eastAsia"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rPr>
              <w:t>项目产生的废水经化粪池处理后，达到《污水综合排放标准》三级标准后进入城市污水管网，送至</w:t>
            </w:r>
            <w:r>
              <w:rPr>
                <w:rFonts w:hint="eastAsia" w:ascii="Times New Roman" w:hAnsi="Times New Roman" w:cs="Times New Roman"/>
                <w:b w:val="0"/>
                <w:bCs w:val="0"/>
                <w:color w:val="auto"/>
                <w:sz w:val="21"/>
                <w:szCs w:val="21"/>
                <w:highlight w:val="none"/>
                <w:lang w:eastAsia="zh-CN"/>
              </w:rPr>
              <w:t>下午屯污水处理厂</w:t>
            </w:r>
            <w:r>
              <w:rPr>
                <w:rFonts w:hint="default" w:ascii="Times New Roman" w:hAnsi="Times New Roman" w:cs="Times New Roman"/>
                <w:b w:val="0"/>
                <w:bCs w:val="0"/>
                <w:color w:val="auto"/>
                <w:sz w:val="21"/>
                <w:szCs w:val="21"/>
                <w:highlight w:val="none"/>
              </w:rPr>
              <w:t>处理后达标排</w:t>
            </w:r>
            <w:r>
              <w:rPr>
                <w:rFonts w:hint="default" w:ascii="Times New Roman" w:hAnsi="Times New Roman" w:cs="Times New Roman"/>
                <w:b w:val="0"/>
                <w:bCs w:val="0"/>
                <w:color w:val="auto"/>
                <w:sz w:val="21"/>
                <w:szCs w:val="21"/>
                <w:highlight w:val="none"/>
                <w:lang w:eastAsia="zh-CN"/>
              </w:rPr>
              <w:t>放</w:t>
            </w:r>
            <w:r>
              <w:rPr>
                <w:rFonts w:hint="default" w:ascii="Times New Roman" w:hAnsi="Times New Roman" w:cs="Times New Roman"/>
                <w:b w:val="0"/>
                <w:bCs w:val="0"/>
                <w:color w:val="auto"/>
                <w:sz w:val="21"/>
                <w:szCs w:val="21"/>
                <w:highlight w:val="none"/>
              </w:rPr>
              <w:t>。</w:t>
            </w:r>
          </w:p>
        </w:tc>
        <w:tc>
          <w:tcPr>
            <w:tcW w:w="1560" w:type="dxa"/>
            <w:vAlign w:val="center"/>
          </w:tcPr>
          <w:p>
            <w:pPr>
              <w:numPr>
                <w:ilvl w:val="0"/>
                <w:numId w:val="0"/>
              </w:num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已落实</w:t>
            </w:r>
          </w:p>
        </w:tc>
        <w:tc>
          <w:tcPr>
            <w:tcW w:w="1665" w:type="dxa"/>
            <w:vAlign w:val="center"/>
          </w:tcPr>
          <w:p>
            <w:pPr>
              <w:numPr>
                <w:ilvl w:val="0"/>
                <w:numId w:val="0"/>
              </w:num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9" w:hRule="atLeast"/>
        </w:trPr>
        <w:tc>
          <w:tcPr>
            <w:tcW w:w="384" w:type="dxa"/>
            <w:vMerge w:val="continue"/>
            <w:vAlign w:val="center"/>
          </w:tcPr>
          <w:p>
            <w:pPr>
              <w:spacing w:line="240" w:lineRule="auto"/>
              <w:jc w:val="left"/>
              <w:rPr>
                <w:sz w:val="21"/>
                <w:szCs w:val="21"/>
              </w:rPr>
            </w:pPr>
          </w:p>
        </w:tc>
        <w:tc>
          <w:tcPr>
            <w:tcW w:w="1080" w:type="dxa"/>
            <w:vMerge w:val="continue"/>
            <w:vAlign w:val="center"/>
          </w:tcPr>
          <w:p>
            <w:pPr>
              <w:spacing w:line="240" w:lineRule="auto"/>
              <w:jc w:val="left"/>
              <w:rPr>
                <w:sz w:val="21"/>
                <w:szCs w:val="21"/>
              </w:rPr>
            </w:pPr>
          </w:p>
        </w:tc>
        <w:tc>
          <w:tcPr>
            <w:tcW w:w="3840" w:type="dxa"/>
            <w:vAlign w:val="center"/>
          </w:tcPr>
          <w:p>
            <w:pPr>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生活垃圾通过集中收集后，通过环卫部门统一清运，最终运往城市垃圾填埋场，</w:t>
            </w:r>
          </w:p>
        </w:tc>
        <w:tc>
          <w:tcPr>
            <w:tcW w:w="1560" w:type="dxa"/>
            <w:vAlign w:val="center"/>
          </w:tcPr>
          <w:p>
            <w:pPr>
              <w:spacing w:line="240" w:lineRule="auto"/>
              <w:jc w:val="center"/>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eastAsia="宋体" w:cs="Times New Roman"/>
                <w:b w:val="0"/>
                <w:bCs w:val="0"/>
                <w:sz w:val="21"/>
                <w:szCs w:val="21"/>
                <w:vertAlign w:val="baseline"/>
                <w:lang w:val="en-US" w:eastAsia="zh-CN"/>
              </w:rPr>
              <w:t>已落实</w:t>
            </w:r>
          </w:p>
        </w:tc>
        <w:tc>
          <w:tcPr>
            <w:tcW w:w="1665"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1" w:hRule="atLeast"/>
        </w:trPr>
        <w:tc>
          <w:tcPr>
            <w:tcW w:w="384"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1080"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3840" w:type="dxa"/>
            <w:vAlign w:val="center"/>
          </w:tcPr>
          <w:p>
            <w:pPr>
              <w:numPr>
                <w:ilvl w:val="0"/>
                <w:numId w:val="0"/>
              </w:numPr>
              <w:spacing w:line="240" w:lineRule="auto"/>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eastAsia="zh-CN"/>
              </w:rPr>
              <w:t>高噪声设备设置在建筑地下层，加强车辆噪声和商业噪声的管理，加强宣传教育，</w:t>
            </w:r>
          </w:p>
        </w:tc>
        <w:tc>
          <w:tcPr>
            <w:tcW w:w="1560"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b w:val="0"/>
                <w:bCs w:val="0"/>
                <w:sz w:val="21"/>
                <w:szCs w:val="21"/>
                <w:vertAlign w:val="baseline"/>
                <w:lang w:val="en-US" w:eastAsia="zh-CN"/>
              </w:rPr>
              <w:t>已落实</w:t>
            </w:r>
          </w:p>
        </w:tc>
        <w:tc>
          <w:tcPr>
            <w:tcW w:w="1665"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7" w:hRule="atLeast"/>
        </w:trPr>
        <w:tc>
          <w:tcPr>
            <w:tcW w:w="384"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1080" w:type="dxa"/>
            <w:vMerge w:val="continue"/>
            <w:vAlign w:val="center"/>
          </w:tcPr>
          <w:p>
            <w:pPr>
              <w:spacing w:line="240" w:lineRule="auto"/>
              <w:jc w:val="left"/>
              <w:rPr>
                <w:rFonts w:hint="eastAsia" w:ascii="Times New Roman" w:hAnsi="Times New Roman" w:cs="Times New Roman"/>
                <w:color w:val="auto"/>
                <w:sz w:val="21"/>
                <w:szCs w:val="21"/>
                <w:lang w:val="en-US" w:eastAsia="zh-CN"/>
              </w:rPr>
            </w:pPr>
          </w:p>
        </w:tc>
        <w:tc>
          <w:tcPr>
            <w:tcW w:w="3840" w:type="dxa"/>
            <w:vAlign w:val="center"/>
          </w:tcPr>
          <w:p>
            <w:pPr>
              <w:numPr>
                <w:ilvl w:val="0"/>
                <w:numId w:val="0"/>
              </w:numPr>
              <w:spacing w:line="240" w:lineRule="auto"/>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    家庭厨房油烟采用</w:t>
            </w:r>
            <w:r>
              <w:rPr>
                <w:rFonts w:hint="default" w:ascii="Times New Roman" w:hAnsi="Times New Roman" w:cs="Times New Roman"/>
                <w:color w:val="auto"/>
                <w:sz w:val="21"/>
                <w:szCs w:val="21"/>
              </w:rPr>
              <w:t>家用抽油烟机</w:t>
            </w:r>
            <w:r>
              <w:rPr>
                <w:rFonts w:hint="eastAsia" w:ascii="Times New Roman" w:hAnsi="Times New Roman" w:cs="Times New Roman"/>
                <w:color w:val="auto"/>
                <w:sz w:val="21"/>
                <w:szCs w:val="21"/>
                <w:lang w:eastAsia="zh-CN"/>
              </w:rPr>
              <w:t>处理，由内设油烟道至屋顶排放；地下车库进行抽排通风，</w:t>
            </w:r>
            <w:r>
              <w:rPr>
                <w:rFonts w:hint="default" w:ascii="Times New Roman" w:hAnsi="Times New Roman" w:cs="Times New Roman"/>
                <w:color w:val="000000"/>
                <w:kern w:val="0"/>
                <w:sz w:val="21"/>
                <w:szCs w:val="21"/>
              </w:rPr>
              <w:t>通过竖向井引至地面排放，排气筒高于地面</w:t>
            </w:r>
            <w:r>
              <w:rPr>
                <w:rFonts w:hint="eastAsia"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rPr>
              <w:t>面向绿化带，背离居民区。</w:t>
            </w:r>
          </w:p>
        </w:tc>
        <w:tc>
          <w:tcPr>
            <w:tcW w:w="1560"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b w:val="0"/>
                <w:bCs w:val="0"/>
                <w:sz w:val="21"/>
                <w:szCs w:val="21"/>
                <w:vertAlign w:val="baseline"/>
                <w:lang w:val="en-US" w:eastAsia="zh-CN"/>
              </w:rPr>
              <w:t>已落实</w:t>
            </w:r>
          </w:p>
        </w:tc>
        <w:tc>
          <w:tcPr>
            <w:tcW w:w="1665" w:type="dxa"/>
            <w:vAlign w:val="center"/>
          </w:tcPr>
          <w:p>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trPr>
        <w:tc>
          <w:tcPr>
            <w:tcW w:w="384" w:type="dxa"/>
            <w:vMerge w:val="continue"/>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p>
        </w:tc>
        <w:tc>
          <w:tcPr>
            <w:tcW w:w="108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社会</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影响</w:t>
            </w:r>
          </w:p>
        </w:tc>
        <w:tc>
          <w:tcPr>
            <w:tcW w:w="3840" w:type="dxa"/>
            <w:vAlign w:val="center"/>
          </w:tcPr>
          <w:p>
            <w:pPr>
              <w:numPr>
                <w:ilvl w:val="0"/>
                <w:numId w:val="0"/>
              </w:numPr>
              <w:spacing w:line="240" w:lineRule="auto"/>
              <w:ind w:left="0" w:leftChars="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w:t>
            </w:r>
          </w:p>
          <w:p>
            <w:pPr>
              <w:numPr>
                <w:ilvl w:val="0"/>
                <w:numId w:val="0"/>
              </w:numPr>
              <w:spacing w:line="240" w:lineRule="auto"/>
              <w:ind w:left="0" w:leftChars="0" w:firstLine="0" w:firstLineChars="0"/>
              <w:jc w:val="center"/>
              <w:rPr>
                <w:rFonts w:hint="eastAsia" w:ascii="Times New Roman" w:hAnsi="Times New Roman" w:cs="Times New Roman"/>
                <w:b/>
                <w:bCs/>
                <w:color w:val="auto"/>
                <w:sz w:val="21"/>
                <w:szCs w:val="21"/>
                <w:lang w:val="en-US" w:eastAsia="zh-CN"/>
              </w:rPr>
            </w:pPr>
          </w:p>
        </w:tc>
        <w:tc>
          <w:tcPr>
            <w:tcW w:w="1560"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c>
          <w:tcPr>
            <w:tcW w:w="1665" w:type="dxa"/>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w:t>
            </w:r>
          </w:p>
        </w:tc>
      </w:tr>
    </w:tbl>
    <w:p>
      <w:pPr>
        <w:spacing w:line="360" w:lineRule="auto"/>
        <w:ind w:firstLine="562" w:firstLineChars="200"/>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表7  环境影响调查</w:t>
      </w:r>
    </w:p>
    <w:tbl>
      <w:tblPr>
        <w:tblStyle w:val="19"/>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519"/>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3"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施</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工</w:t>
            </w:r>
          </w:p>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期</w:t>
            </w:r>
          </w:p>
        </w:tc>
        <w:tc>
          <w:tcPr>
            <w:tcW w:w="151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生态影响</w:t>
            </w:r>
          </w:p>
        </w:tc>
        <w:tc>
          <w:tcPr>
            <w:tcW w:w="632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9"/>
              <w:rPr>
                <w:rFonts w:hint="default" w:ascii="Times New Roman" w:hAnsi="Times New Roman"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项目采取明挖方式进行施工，这些地段的地表开挖后，会加剧这些裸露地表的水土流失。在施工过程中，对周围生态景观的影响表现在：建设过程中需要占用土地，对明挖施工段沿线原有植被和绿化带来一定的破坏，并可能引起局部的水土流失。项目施工过程执行环评报告提出的措施效果较好，已将生态影响降至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3" w:type="dxa"/>
            <w:vMerge w:val="continue"/>
          </w:tcPr>
          <w:p>
            <w:pPr>
              <w:spacing w:line="360" w:lineRule="auto"/>
              <w:jc w:val="center"/>
              <w:rPr>
                <w:rFonts w:hint="default" w:ascii="Times New Roman" w:hAnsi="Times New Roman" w:eastAsia="宋体" w:cs="Times New Roman"/>
                <w:b/>
                <w:bCs/>
                <w:sz w:val="21"/>
                <w:szCs w:val="21"/>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污染影响</w:t>
            </w:r>
          </w:p>
        </w:tc>
        <w:tc>
          <w:tcPr>
            <w:tcW w:w="632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outlineLvl w:val="9"/>
              <w:rPr>
                <w:rFonts w:hint="default" w:ascii="Times New Roman" w:hAnsi="Times New Roman"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各类施工机械及运输车辆产生的噪声，施工人员生活废水、施工废水，施工过程中建筑材料装卸运输施工过程产生的粉尘、扬尘、汽车尾气及施工机械燃油排放的废气，施工产生的余泥渣土、施工废物料及施工人员产生的生活垃圾等会在不同程度上给施工场地周围近距离内环境产生一定影响。项目通过严格执行环评报告中提出的各项措施，已将各项污染影响降至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3" w:hRule="atLeast"/>
        </w:trPr>
        <w:tc>
          <w:tcPr>
            <w:tcW w:w="703" w:type="dxa"/>
            <w:vMerge w:val="continue"/>
          </w:tcPr>
          <w:p>
            <w:pPr>
              <w:spacing w:line="360" w:lineRule="auto"/>
              <w:jc w:val="center"/>
              <w:rPr>
                <w:rFonts w:hint="default" w:ascii="Times New Roman" w:hAnsi="Times New Roman" w:eastAsia="宋体" w:cs="Times New Roman"/>
                <w:b/>
                <w:bCs/>
                <w:sz w:val="21"/>
                <w:szCs w:val="21"/>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社会影响</w:t>
            </w:r>
          </w:p>
        </w:tc>
        <w:tc>
          <w:tcPr>
            <w:tcW w:w="632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outlineLvl w:val="9"/>
              <w:rPr>
                <w:rFonts w:hint="default" w:ascii="Times New Roman" w:hAnsi="Times New Roman"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 xml:space="preserve">    对附近居民等产生一定的影响。项目施工期间按照环评报告要求做好相应的措施，已将项目产生的社会影响降至较小。建设期间未收到附件居民投诉。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703" w:type="dxa"/>
            <w:vMerge w:val="restart"/>
            <w:vAlign w:val="center"/>
          </w:tcPr>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运</w:t>
            </w:r>
          </w:p>
          <w:p>
            <w:pPr>
              <w:spacing w:line="360" w:lineRule="auto"/>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行</w:t>
            </w:r>
          </w:p>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期</w:t>
            </w:r>
          </w:p>
        </w:tc>
        <w:tc>
          <w:tcPr>
            <w:tcW w:w="151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生态影响</w:t>
            </w:r>
          </w:p>
        </w:tc>
        <w:tc>
          <w:tcPr>
            <w:tcW w:w="632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outlineLvl w:val="9"/>
              <w:rPr>
                <w:rFonts w:hint="default" w:ascii="Times New Roman" w:hAnsi="Times New Roman" w:cs="Times New Roman"/>
                <w:snapToGrid w:val="0"/>
                <w:color w:val="000000"/>
                <w:kern w:val="0"/>
                <w:sz w:val="21"/>
                <w:szCs w:val="21"/>
                <w:lang w:val="en-US" w:eastAsia="zh-CN"/>
              </w:rPr>
            </w:pPr>
            <w:r>
              <w:rPr>
                <w:rFonts w:hint="eastAsia" w:ascii="Times New Roman" w:hAnsi="Times New Roman" w:cs="Times New Roman"/>
                <w:snapToGrid w:val="0"/>
                <w:color w:val="000000"/>
                <w:kern w:val="0"/>
                <w:sz w:val="21"/>
                <w:szCs w:val="21"/>
                <w:lang w:val="en-US" w:eastAsia="zh-CN"/>
              </w:rPr>
              <w:t xml:space="preserve">    随着工程的建成运行，临时占用土地植被的恢复，加强绿化工程，</w:t>
            </w:r>
            <w:r>
              <w:rPr>
                <w:rFonts w:hint="default" w:ascii="Times New Roman" w:hAnsi="Times New Roman" w:cs="Times New Roman"/>
                <w:snapToGrid w:val="0"/>
                <w:color w:val="000000"/>
                <w:kern w:val="0"/>
                <w:sz w:val="21"/>
                <w:szCs w:val="21"/>
                <w:lang w:val="en-US" w:eastAsia="zh-CN"/>
              </w:rPr>
              <w:t>营运期对生态环境不会产生明显影响</w:t>
            </w:r>
            <w:r>
              <w:rPr>
                <w:rFonts w:hint="default" w:ascii="Times New Roman" w:hAnsi="Times New Roman" w:cs="Times New Roman"/>
                <w:snapToGrid w:val="0"/>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9" w:hRule="atLeast"/>
        </w:trPr>
        <w:tc>
          <w:tcPr>
            <w:tcW w:w="703" w:type="dxa"/>
            <w:vMerge w:val="continue"/>
          </w:tcPr>
          <w:p>
            <w:pPr>
              <w:spacing w:line="360" w:lineRule="auto"/>
              <w:jc w:val="center"/>
              <w:rPr>
                <w:rFonts w:hint="default" w:ascii="Times New Roman" w:hAnsi="Times New Roman" w:eastAsia="宋体" w:cs="Times New Roman"/>
                <w:b/>
                <w:bCs/>
                <w:sz w:val="21"/>
                <w:szCs w:val="21"/>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污染影响</w:t>
            </w:r>
          </w:p>
        </w:tc>
        <w:tc>
          <w:tcPr>
            <w:tcW w:w="6322" w:type="dxa"/>
            <w:vAlign w:val="center"/>
          </w:tcPr>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 xml:space="preserve">    </w:t>
            </w:r>
            <w:r>
              <w:rPr>
                <w:rFonts w:hint="default" w:ascii="Times New Roman" w:hAnsi="Times New Roman" w:cs="Times New Roman"/>
                <w:bCs/>
                <w:color w:val="000000"/>
                <w:sz w:val="21"/>
                <w:szCs w:val="21"/>
                <w:lang w:val="en-US" w:eastAsia="zh-CN"/>
              </w:rPr>
              <w:t>项目产生的废水经化粪池处理后，达到《污水综合排放标准》三级标准后进入城市污水管网，送至</w:t>
            </w:r>
            <w:r>
              <w:rPr>
                <w:rFonts w:hint="eastAsia" w:ascii="Times New Roman" w:hAnsi="Times New Roman" w:cs="Times New Roman"/>
                <w:bCs/>
                <w:color w:val="000000"/>
                <w:sz w:val="21"/>
                <w:szCs w:val="21"/>
                <w:lang w:val="en-US" w:eastAsia="zh-CN"/>
              </w:rPr>
              <w:t>下午屯</w:t>
            </w:r>
            <w:r>
              <w:rPr>
                <w:rFonts w:hint="default" w:ascii="Times New Roman" w:hAnsi="Times New Roman" w:cs="Times New Roman"/>
                <w:bCs/>
                <w:color w:val="000000"/>
                <w:sz w:val="21"/>
                <w:szCs w:val="21"/>
                <w:lang w:val="en-US" w:eastAsia="zh-CN"/>
              </w:rPr>
              <w:t>污水处理厂处理后达标排放。因此，本项目产生的污水在通过处理后，对地表水环境质量影响小。</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 xml:space="preserve">    </w:t>
            </w:r>
            <w:r>
              <w:rPr>
                <w:rFonts w:hint="default" w:ascii="Times New Roman" w:hAnsi="Times New Roman" w:cs="Times New Roman"/>
                <w:bCs/>
                <w:color w:val="000000"/>
                <w:sz w:val="21"/>
                <w:szCs w:val="21"/>
                <w:lang w:val="en-US" w:eastAsia="zh-CN"/>
              </w:rPr>
              <w:t>本项目营运时，生活垃圾通过集中收集后，通过环卫部门统一清运，最终运往城市垃圾填埋场，本项目产生的固体废弃物不会对环境造成影响。</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 xml:space="preserve">    </w:t>
            </w:r>
            <w:r>
              <w:rPr>
                <w:rFonts w:hint="default" w:ascii="Times New Roman" w:hAnsi="Times New Roman" w:cs="Times New Roman"/>
                <w:bCs/>
                <w:color w:val="000000"/>
                <w:sz w:val="21"/>
                <w:szCs w:val="21"/>
                <w:lang w:val="en-US" w:eastAsia="zh-CN"/>
              </w:rPr>
              <w:t>高噪声设备设置在建筑地下层，加强车辆噪声和商业噪声的管理，加强宣传教育，声环境影响较小。</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hint="default"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 xml:space="preserve">    </w:t>
            </w:r>
            <w:r>
              <w:rPr>
                <w:rFonts w:hint="default" w:ascii="Times New Roman" w:hAnsi="Times New Roman" w:cs="Times New Roman"/>
                <w:bCs/>
                <w:color w:val="000000"/>
                <w:sz w:val="21"/>
                <w:szCs w:val="21"/>
                <w:lang w:val="en-US" w:eastAsia="zh-CN"/>
              </w:rPr>
              <w:t>家庭厨房油烟采用家用抽油烟机处理，由内设油烟道至屋顶排放；地下车库进行抽排通风，通过竖向井引至地面排放，排气筒高于地面，面向绿化带，背离居民区。地面空气流通性好，汽车产生的尾气扩散快，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6" w:hRule="atLeast"/>
        </w:trPr>
        <w:tc>
          <w:tcPr>
            <w:tcW w:w="703" w:type="dxa"/>
            <w:vMerge w:val="continue"/>
          </w:tcPr>
          <w:p>
            <w:pPr>
              <w:spacing w:line="360" w:lineRule="auto"/>
              <w:jc w:val="center"/>
              <w:rPr>
                <w:rFonts w:hint="default" w:ascii="Times New Roman" w:hAnsi="Times New Roman" w:eastAsia="宋体" w:cs="Times New Roman"/>
                <w:b/>
                <w:bCs/>
                <w:sz w:val="21"/>
                <w:szCs w:val="21"/>
                <w:vertAlign w:val="baseline"/>
                <w:lang w:val="en-US" w:eastAsia="zh-CN"/>
              </w:rPr>
            </w:pPr>
          </w:p>
        </w:tc>
        <w:tc>
          <w:tcPr>
            <w:tcW w:w="1519" w:type="dxa"/>
            <w:vAlign w:val="center"/>
          </w:tcPr>
          <w:p>
            <w:pPr>
              <w:spacing w:line="36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社会影响</w:t>
            </w:r>
          </w:p>
        </w:tc>
        <w:tc>
          <w:tcPr>
            <w:tcW w:w="6322" w:type="dxa"/>
            <w:vAlign w:val="center"/>
          </w:tcPr>
          <w:p>
            <w:pPr>
              <w:keepNext w:val="0"/>
              <w:keepLines w:val="0"/>
              <w:pageBreakBefore w:val="0"/>
              <w:widowControl w:val="0"/>
              <w:kinsoku/>
              <w:wordWrap/>
              <w:overflowPunct/>
              <w:topLinePunct w:val="0"/>
              <w:autoSpaceDE/>
              <w:autoSpaceDN/>
              <w:bidi w:val="0"/>
              <w:adjustRightInd/>
              <w:snapToGrid/>
              <w:spacing w:line="312" w:lineRule="auto"/>
              <w:jc w:val="left"/>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本项目自投入试运行以来，各项环保措施</w:t>
            </w:r>
            <w:r>
              <w:rPr>
                <w:rFonts w:hint="eastAsia" w:ascii="Times New Roman" w:hAnsi="Times New Roman" w:cs="Times New Roman"/>
                <w:color w:val="auto"/>
                <w:sz w:val="21"/>
                <w:szCs w:val="21"/>
                <w:lang w:val="en-US" w:eastAsia="zh-CN"/>
              </w:rPr>
              <w:t>基本</w:t>
            </w:r>
            <w:r>
              <w:rPr>
                <w:rFonts w:hint="default" w:ascii="Times New Roman" w:hAnsi="Times New Roman" w:cs="Times New Roman"/>
                <w:color w:val="auto"/>
                <w:sz w:val="21"/>
                <w:szCs w:val="21"/>
                <w:lang w:val="en-US" w:eastAsia="zh-CN"/>
              </w:rPr>
              <w:t>得到了落实，对环境影响很小，没有不良社会影响事件，项目所在地环境保护主管部门没有收到对本项目的投诉。</w:t>
            </w:r>
          </w:p>
        </w:tc>
      </w:tr>
    </w:tbl>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表8  环境管理及监测计划</w:t>
      </w:r>
    </w:p>
    <w:tbl>
      <w:tblPr>
        <w:tblStyle w:val="19"/>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8559" w:type="dxa"/>
          </w:tcPr>
          <w:p>
            <w:pPr>
              <w:spacing w:line="360" w:lineRule="auto"/>
              <w:jc w:val="left"/>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环境管理机构设置（分施工期和运行期）：</w:t>
            </w:r>
          </w:p>
          <w:p>
            <w:pPr>
              <w:spacing w:line="360" w:lineRule="auto"/>
              <w:jc w:val="left"/>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 xml:space="preserve">    施工期：由贵州华联城房地产开发有限公司、施工单位及监理单位组成。</w:t>
            </w:r>
          </w:p>
          <w:p>
            <w:pPr>
              <w:spacing w:line="360" w:lineRule="auto"/>
              <w:jc w:val="left"/>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val="0"/>
                <w:bCs w:val="0"/>
                <w:sz w:val="21"/>
                <w:szCs w:val="21"/>
                <w:lang w:val="en-US" w:eastAsia="zh-CN"/>
              </w:rPr>
              <w:t xml:space="preserve">    运行期：由小区物管及业主委员会组成。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8559" w:type="dxa"/>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环境监测能力建设能力情况：</w:t>
            </w:r>
          </w:p>
          <w:p>
            <w:pPr>
              <w:spacing w:line="360" w:lineRule="auto"/>
              <w:jc w:val="left"/>
              <w:rPr>
                <w:rFonts w:hint="default" w:ascii="Times New Roman" w:hAnsi="Times New Roman" w:eastAsia="宋体" w:cs="Times New Roman"/>
                <w:b/>
                <w:bCs/>
                <w:sz w:val="21"/>
                <w:szCs w:val="21"/>
                <w:vertAlign w:val="baseline"/>
                <w:lang w:val="en-US" w:eastAsia="zh-CN"/>
              </w:rPr>
            </w:pPr>
            <w:r>
              <w:rPr>
                <w:rFonts w:hint="eastAsia"/>
                <w:color w:val="000000"/>
                <w:sz w:val="21"/>
                <w:szCs w:val="21"/>
                <w:lang w:val="en-US" w:eastAsia="zh-CN"/>
              </w:rPr>
              <w:t xml:space="preserve">    </w:t>
            </w:r>
            <w:r>
              <w:rPr>
                <w:color w:val="000000"/>
                <w:sz w:val="21"/>
                <w:szCs w:val="21"/>
              </w:rPr>
              <w:t>建设单位</w:t>
            </w:r>
            <w:r>
              <w:rPr>
                <w:rFonts w:hint="eastAsia"/>
                <w:color w:val="000000"/>
                <w:sz w:val="21"/>
                <w:szCs w:val="21"/>
              </w:rPr>
              <w:t>没有进行专门的环境监测能力建设，其环境监测将委托有资质的监测</w:t>
            </w:r>
            <w:r>
              <w:rPr>
                <w:rFonts w:hint="eastAsia"/>
                <w:color w:val="000000"/>
                <w:sz w:val="21"/>
                <w:szCs w:val="21"/>
                <w:lang w:eastAsia="zh-CN"/>
              </w:rPr>
              <w:t>单位</w:t>
            </w:r>
            <w:r>
              <w:rPr>
                <w:rFonts w:hint="eastAsia"/>
                <w:color w:val="000000"/>
                <w:sz w:val="21"/>
                <w:szCs w:val="21"/>
              </w:rPr>
              <w:t>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8559" w:type="dxa"/>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环境影响报告中提出的监测计划及落实情况：</w:t>
            </w:r>
          </w:p>
          <w:p>
            <w:pPr>
              <w:spacing w:line="360" w:lineRule="auto"/>
              <w:jc w:val="left"/>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    本项目属于非污染排放项目，未对本项目提出监测计划。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4" w:hRule="atLeast"/>
        </w:trPr>
        <w:tc>
          <w:tcPr>
            <w:tcW w:w="8559" w:type="dxa"/>
          </w:tcPr>
          <w:p>
            <w:pPr>
              <w:spacing w:line="360" w:lineRule="auto"/>
              <w:jc w:val="left"/>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环境管理状况分析已建议：</w:t>
            </w:r>
          </w:p>
          <w:p>
            <w:pPr>
              <w:spacing w:line="360" w:lineRule="auto"/>
              <w:ind w:firstLine="480"/>
              <w:jc w:val="left"/>
              <w:rPr>
                <w:rFonts w:hint="eastAsia"/>
                <w:sz w:val="21"/>
                <w:szCs w:val="21"/>
                <w:lang w:eastAsia="zh-CN"/>
              </w:rPr>
            </w:pPr>
            <w:r>
              <w:rPr>
                <w:rFonts w:hint="eastAsia"/>
                <w:sz w:val="21"/>
                <w:szCs w:val="21"/>
              </w:rPr>
              <w:t>本项目已经建成投运，施工期的环境影响已经基本消除</w:t>
            </w:r>
            <w:r>
              <w:rPr>
                <w:rFonts w:hint="eastAsia"/>
                <w:sz w:val="21"/>
                <w:szCs w:val="21"/>
                <w:lang w:eastAsia="zh-CN"/>
              </w:rPr>
              <w:t>，</w:t>
            </w:r>
            <w:r>
              <w:rPr>
                <w:rFonts w:hint="eastAsia"/>
                <w:sz w:val="21"/>
                <w:szCs w:val="21"/>
              </w:rPr>
              <w:t>建设单位应</w:t>
            </w:r>
            <w:r>
              <w:rPr>
                <w:sz w:val="21"/>
                <w:szCs w:val="21"/>
              </w:rPr>
              <w:t>加强运行期环境管理</w:t>
            </w:r>
            <w:r>
              <w:rPr>
                <w:rFonts w:hint="eastAsia"/>
                <w:sz w:val="21"/>
                <w:szCs w:val="21"/>
                <w:lang w:eastAsia="zh-CN"/>
              </w:rPr>
              <w:t>。</w:t>
            </w:r>
          </w:p>
          <w:p>
            <w:pPr>
              <w:spacing w:line="360" w:lineRule="auto"/>
              <w:ind w:firstLine="480"/>
              <w:jc w:val="left"/>
              <w:rPr>
                <w:rFonts w:hint="eastAsia"/>
                <w:sz w:val="21"/>
                <w:szCs w:val="21"/>
                <w:lang w:val="en-US" w:eastAsia="zh-CN"/>
              </w:rPr>
            </w:pPr>
            <w:r>
              <w:rPr>
                <w:rFonts w:hint="eastAsia"/>
                <w:sz w:val="21"/>
                <w:szCs w:val="21"/>
                <w:lang w:val="en-US" w:eastAsia="zh-CN"/>
              </w:rPr>
              <w:t>建议项目根据审批要求进一步做好环境保护工作。</w:t>
            </w: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ind w:firstLine="480"/>
              <w:jc w:val="left"/>
              <w:rPr>
                <w:rFonts w:hint="eastAsia"/>
                <w:sz w:val="21"/>
                <w:szCs w:val="21"/>
                <w:lang w:val="en-US" w:eastAsia="zh-CN"/>
              </w:rPr>
            </w:pPr>
          </w:p>
          <w:p>
            <w:pPr>
              <w:spacing w:line="360" w:lineRule="auto"/>
              <w:jc w:val="left"/>
              <w:rPr>
                <w:rFonts w:hint="eastAsia"/>
                <w:sz w:val="21"/>
                <w:szCs w:val="21"/>
                <w:lang w:val="en-US" w:eastAsia="zh-CN"/>
              </w:rPr>
            </w:pPr>
          </w:p>
          <w:p>
            <w:pPr>
              <w:spacing w:line="360" w:lineRule="auto"/>
              <w:jc w:val="left"/>
              <w:rPr>
                <w:rFonts w:hint="eastAsia"/>
                <w:sz w:val="21"/>
                <w:szCs w:val="21"/>
                <w:lang w:val="en-US" w:eastAsia="zh-CN"/>
              </w:rPr>
            </w:pPr>
          </w:p>
          <w:p>
            <w:pPr>
              <w:spacing w:line="360" w:lineRule="auto"/>
              <w:jc w:val="left"/>
              <w:rPr>
                <w:rFonts w:hint="default"/>
                <w:sz w:val="21"/>
                <w:szCs w:val="21"/>
                <w:lang w:val="en-US" w:eastAsia="zh-CN"/>
              </w:rPr>
            </w:pPr>
          </w:p>
          <w:p>
            <w:pPr>
              <w:spacing w:line="360" w:lineRule="auto"/>
              <w:jc w:val="left"/>
              <w:rPr>
                <w:rFonts w:hint="default"/>
                <w:sz w:val="21"/>
                <w:szCs w:val="21"/>
                <w:lang w:val="en-US" w:eastAsia="zh-CN"/>
              </w:rPr>
            </w:pPr>
          </w:p>
          <w:p>
            <w:pPr>
              <w:spacing w:line="360" w:lineRule="auto"/>
              <w:jc w:val="left"/>
              <w:rPr>
                <w:rFonts w:hint="default"/>
                <w:sz w:val="21"/>
                <w:szCs w:val="21"/>
                <w:lang w:val="en-US" w:eastAsia="zh-CN"/>
              </w:rPr>
            </w:pPr>
          </w:p>
          <w:p>
            <w:pPr>
              <w:spacing w:line="360" w:lineRule="auto"/>
              <w:jc w:val="left"/>
              <w:rPr>
                <w:rFonts w:hint="default"/>
                <w:sz w:val="21"/>
                <w:szCs w:val="21"/>
                <w:lang w:val="en-US" w:eastAsia="zh-CN"/>
              </w:rPr>
            </w:pPr>
          </w:p>
          <w:p>
            <w:pPr>
              <w:spacing w:line="360" w:lineRule="auto"/>
              <w:jc w:val="left"/>
              <w:rPr>
                <w:rFonts w:hint="default"/>
                <w:sz w:val="21"/>
                <w:szCs w:val="21"/>
                <w:lang w:val="en-US" w:eastAsia="zh-CN"/>
              </w:rPr>
            </w:pPr>
          </w:p>
        </w:tc>
      </w:tr>
    </w:tbl>
    <w:p>
      <w:pPr>
        <w:spacing w:line="360" w:lineRule="auto"/>
        <w:jc w:val="cente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表9  调查结论与建议</w:t>
      </w:r>
    </w:p>
    <w:tbl>
      <w:tblPr>
        <w:tblStyle w:val="19"/>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59" w:type="dxa"/>
          </w:tcPr>
          <w:p>
            <w:pPr>
              <w:spacing w:line="360" w:lineRule="auto"/>
              <w:jc w:val="left"/>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调查结论与建议：</w:t>
            </w:r>
          </w:p>
          <w:p>
            <w:pPr>
              <w:spacing w:line="360" w:lineRule="auto"/>
              <w:ind w:firstLine="420" w:firstLineChars="200"/>
              <w:rPr>
                <w:sz w:val="21"/>
                <w:szCs w:val="21"/>
              </w:rPr>
            </w:pPr>
            <w:r>
              <w:rPr>
                <w:sz w:val="21"/>
                <w:szCs w:val="21"/>
              </w:rPr>
              <w:t>通过对</w:t>
            </w:r>
            <w:r>
              <w:rPr>
                <w:rFonts w:hint="eastAsia" w:ascii="Times New Roman" w:hAnsi="Times New Roman" w:cs="Times New Roman"/>
                <w:color w:val="auto"/>
                <w:spacing w:val="10"/>
                <w:sz w:val="21"/>
                <w:szCs w:val="21"/>
                <w:lang w:eastAsia="zh-CN"/>
              </w:rPr>
              <w:t>贵州·华联城（一期）</w:t>
            </w:r>
            <w:r>
              <w:rPr>
                <w:rFonts w:hint="eastAsia"/>
                <w:sz w:val="21"/>
                <w:szCs w:val="21"/>
              </w:rPr>
              <w:t>现场</w:t>
            </w:r>
            <w:r>
              <w:rPr>
                <w:sz w:val="21"/>
                <w:szCs w:val="21"/>
              </w:rPr>
              <w:t>环境状况</w:t>
            </w:r>
            <w:r>
              <w:rPr>
                <w:rFonts w:hint="eastAsia"/>
                <w:sz w:val="21"/>
                <w:szCs w:val="21"/>
              </w:rPr>
              <w:t>的</w:t>
            </w:r>
            <w:r>
              <w:rPr>
                <w:sz w:val="21"/>
                <w:szCs w:val="21"/>
              </w:rPr>
              <w:t>调查，对有关技术文件的分析，对工程环保执行情况、环境保护措施的重点调查与监测，从环境保护角度对工程提出如下调查结论和建议：</w:t>
            </w:r>
          </w:p>
          <w:p>
            <w:pPr>
              <w:spacing w:line="360" w:lineRule="auto"/>
              <w:rPr>
                <w:rFonts w:eastAsia="黑体"/>
                <w:sz w:val="21"/>
                <w:szCs w:val="21"/>
              </w:rPr>
            </w:pPr>
            <w:r>
              <w:rPr>
                <w:rFonts w:eastAsia="黑体"/>
                <w:sz w:val="21"/>
                <w:szCs w:val="21"/>
              </w:rPr>
              <w:t>二、环境保护措施落实情况调查</w:t>
            </w:r>
          </w:p>
          <w:p>
            <w:pPr>
              <w:spacing w:line="360" w:lineRule="auto"/>
              <w:ind w:firstLine="420" w:firstLineChars="200"/>
              <w:rPr>
                <w:bCs/>
                <w:sz w:val="21"/>
                <w:szCs w:val="21"/>
              </w:rPr>
            </w:pPr>
            <w:r>
              <w:rPr>
                <w:bCs/>
                <w:sz w:val="21"/>
                <w:szCs w:val="21"/>
              </w:rPr>
              <w:t>在设计文件中，对本工程提出了比较全面的环境保护措施要求，这些措施和要求</w:t>
            </w:r>
            <w:r>
              <w:rPr>
                <w:rFonts w:hint="eastAsia"/>
                <w:bCs/>
                <w:sz w:val="21"/>
                <w:szCs w:val="21"/>
                <w:lang w:eastAsia="zh-CN"/>
              </w:rPr>
              <w:t>基本</w:t>
            </w:r>
            <w:r>
              <w:rPr>
                <w:bCs/>
                <w:sz w:val="21"/>
                <w:szCs w:val="21"/>
              </w:rPr>
              <w:t>已在工程实际建设和试运营期得到落实。</w:t>
            </w:r>
          </w:p>
          <w:p>
            <w:pPr>
              <w:spacing w:line="360" w:lineRule="auto"/>
              <w:rPr>
                <w:rFonts w:eastAsia="黑体"/>
                <w:sz w:val="21"/>
                <w:szCs w:val="21"/>
              </w:rPr>
            </w:pPr>
            <w:r>
              <w:rPr>
                <w:rFonts w:eastAsia="黑体"/>
                <w:sz w:val="21"/>
                <w:szCs w:val="21"/>
              </w:rPr>
              <w:t>三、施工期环境影响调查</w:t>
            </w:r>
          </w:p>
          <w:p>
            <w:pPr>
              <w:spacing w:line="360" w:lineRule="auto"/>
              <w:ind w:firstLine="420" w:firstLineChars="200"/>
              <w:rPr>
                <w:sz w:val="21"/>
                <w:szCs w:val="21"/>
              </w:rPr>
            </w:pPr>
            <w:r>
              <w:rPr>
                <w:sz w:val="21"/>
                <w:szCs w:val="21"/>
              </w:rPr>
              <w:t>工程在选址和进行设计的过程中，在考虑项目所在地的社会状况和项目可能的环境影响的基础上，对各种环境影响提出了相关对策并落实到了工程设计之中。</w:t>
            </w:r>
          </w:p>
          <w:p>
            <w:pPr>
              <w:spacing w:line="360" w:lineRule="auto"/>
              <w:ind w:firstLine="420" w:firstLineChars="200"/>
              <w:rPr>
                <w:sz w:val="21"/>
                <w:szCs w:val="21"/>
              </w:rPr>
            </w:pPr>
            <w:r>
              <w:rPr>
                <w:sz w:val="21"/>
                <w:szCs w:val="21"/>
              </w:rPr>
              <w:t>建设单位和运营单位针对施工期的环境问题分别采取了防治处理措施。根据本次的现场调查可知，建设单位和运营单位对工程建设时产生的环境问题</w:t>
            </w:r>
            <w:r>
              <w:rPr>
                <w:rFonts w:hint="eastAsia"/>
                <w:sz w:val="21"/>
                <w:szCs w:val="21"/>
              </w:rPr>
              <w:t>做到了妥善处理</w:t>
            </w:r>
            <w:r>
              <w:rPr>
                <w:sz w:val="21"/>
                <w:szCs w:val="21"/>
              </w:rPr>
              <w:t>，无遗留环境问题。</w:t>
            </w:r>
          </w:p>
          <w:p>
            <w:pPr>
              <w:spacing w:line="360" w:lineRule="auto"/>
              <w:rPr>
                <w:rFonts w:eastAsia="黑体"/>
                <w:sz w:val="21"/>
                <w:szCs w:val="21"/>
              </w:rPr>
            </w:pPr>
            <w:r>
              <w:rPr>
                <w:rFonts w:eastAsia="黑体"/>
                <w:sz w:val="21"/>
                <w:szCs w:val="21"/>
              </w:rPr>
              <w:t>四、生态影响调查</w:t>
            </w:r>
          </w:p>
          <w:p>
            <w:pPr>
              <w:spacing w:line="360" w:lineRule="auto"/>
              <w:ind w:firstLine="420" w:firstLineChars="200"/>
              <w:rPr>
                <w:sz w:val="21"/>
                <w:szCs w:val="21"/>
              </w:rPr>
            </w:pPr>
            <w:r>
              <w:rPr>
                <w:rFonts w:hint="eastAsia"/>
                <w:sz w:val="21"/>
                <w:szCs w:val="21"/>
                <w:lang w:val="en-US" w:eastAsia="zh-CN"/>
              </w:rPr>
              <w:t>项目采取明挖方式进行施工，这些地段的地表开挖后，会加剧这些裸露地表的水土流失。在施工过程中，对周围生态景观的影响表现在：建设过程中需要占用土地，对明挖施工段沿线原有植被和绿化带来一定的破坏，并可能引起局部的水土流失。</w:t>
            </w:r>
          </w:p>
          <w:p>
            <w:pPr>
              <w:spacing w:line="360" w:lineRule="auto"/>
              <w:ind w:firstLine="435"/>
              <w:rPr>
                <w:sz w:val="21"/>
                <w:szCs w:val="21"/>
              </w:rPr>
            </w:pPr>
            <w:r>
              <w:rPr>
                <w:sz w:val="21"/>
                <w:szCs w:val="21"/>
              </w:rPr>
              <w:t>从现场踏勘情况看，建设单位在工程中采取了相应的水土保持、生态恢复等措施以及管理措施。通过参阅资料分析结合现场调查可知，本工程没有引发明显的水土流失和生态破坏，采取的上述措施有效。</w:t>
            </w:r>
          </w:p>
          <w:p>
            <w:pPr>
              <w:spacing w:line="360" w:lineRule="auto"/>
              <w:ind w:firstLine="435"/>
              <w:rPr>
                <w:sz w:val="21"/>
                <w:szCs w:val="21"/>
              </w:rPr>
            </w:pPr>
            <w:r>
              <w:rPr>
                <w:sz w:val="21"/>
                <w:szCs w:val="21"/>
              </w:rPr>
              <w:t>建议建设单位继续加强对生态环境的保护工作，加强对环保设施的日常管理和维护，及时发现问题、及时解决，防治生态环境的破坏。</w:t>
            </w:r>
          </w:p>
          <w:p>
            <w:pPr>
              <w:spacing w:line="360" w:lineRule="auto"/>
              <w:rPr>
                <w:rFonts w:hint="eastAsia" w:eastAsia="黑体"/>
                <w:sz w:val="21"/>
                <w:szCs w:val="21"/>
              </w:rPr>
            </w:pPr>
            <w:r>
              <w:rPr>
                <w:rFonts w:hint="eastAsia" w:eastAsia="黑体"/>
                <w:sz w:val="21"/>
                <w:szCs w:val="21"/>
              </w:rPr>
              <w:t>五、水环境影响调查</w:t>
            </w:r>
          </w:p>
          <w:p>
            <w:pPr>
              <w:spacing w:line="500" w:lineRule="exact"/>
              <w:ind w:firstLine="420" w:firstLineChars="20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项目产生的废水经化粪池处理后，达到《污水综合排放标准》三级标准后进入城市污水管网，送至</w:t>
            </w:r>
            <w:r>
              <w:rPr>
                <w:rFonts w:hint="eastAsia" w:ascii="Times New Roman" w:hAnsi="Times New Roman" w:cs="Times New Roman"/>
                <w:b w:val="0"/>
                <w:bCs w:val="0"/>
                <w:color w:val="auto"/>
                <w:sz w:val="21"/>
                <w:szCs w:val="21"/>
                <w:highlight w:val="none"/>
                <w:lang w:eastAsia="zh-CN"/>
              </w:rPr>
              <w:t>下午屯污水处理厂</w:t>
            </w:r>
            <w:r>
              <w:rPr>
                <w:rFonts w:hint="default" w:ascii="Times New Roman" w:hAnsi="Times New Roman" w:cs="Times New Roman"/>
                <w:b w:val="0"/>
                <w:bCs w:val="0"/>
                <w:color w:val="auto"/>
                <w:sz w:val="21"/>
                <w:szCs w:val="21"/>
                <w:highlight w:val="none"/>
              </w:rPr>
              <w:t>处理后达标排</w:t>
            </w:r>
            <w:r>
              <w:rPr>
                <w:rFonts w:hint="default" w:ascii="Times New Roman" w:hAnsi="Times New Roman" w:cs="Times New Roman"/>
                <w:b w:val="0"/>
                <w:bCs w:val="0"/>
                <w:color w:val="auto"/>
                <w:sz w:val="21"/>
                <w:szCs w:val="21"/>
                <w:highlight w:val="none"/>
                <w:lang w:eastAsia="zh-CN"/>
              </w:rPr>
              <w:t>放</w:t>
            </w:r>
            <w:r>
              <w:rPr>
                <w:rFonts w:hint="default" w:ascii="Times New Roman" w:hAnsi="Times New Roman" w:cs="Times New Roman"/>
                <w:b w:val="0"/>
                <w:bCs w:val="0"/>
                <w:color w:val="auto"/>
                <w:sz w:val="21"/>
                <w:szCs w:val="21"/>
                <w:highlight w:val="none"/>
              </w:rPr>
              <w:t>。</w:t>
            </w:r>
          </w:p>
          <w:p>
            <w:pPr>
              <w:spacing w:line="500" w:lineRule="exact"/>
              <w:ind w:firstLine="420" w:firstLineChars="200"/>
              <w:rPr>
                <w:rFonts w:hint="eastAsia" w:ascii="Times New Roman" w:hAnsi="Times New Roman" w:cs="Times New Roman"/>
                <w:color w:val="auto"/>
                <w:sz w:val="21"/>
                <w:szCs w:val="21"/>
                <w:lang w:eastAsia="zh-CN"/>
              </w:rPr>
            </w:pPr>
            <w:r>
              <w:rPr>
                <w:rFonts w:hint="default" w:ascii="Times New Roman" w:hAnsi="Times New Roman" w:cs="Times New Roman"/>
                <w:b w:val="0"/>
                <w:bCs w:val="0"/>
                <w:color w:val="auto"/>
                <w:sz w:val="21"/>
                <w:szCs w:val="21"/>
                <w:highlight w:val="none"/>
              </w:rPr>
              <w:t>因此，本项目产生的污水在通过处理后，对地表水环境质量影响小。</w:t>
            </w:r>
          </w:p>
          <w:p>
            <w:pPr>
              <w:spacing w:line="360" w:lineRule="auto"/>
              <w:rPr>
                <w:rFonts w:hint="eastAsia" w:eastAsia="黑体"/>
                <w:sz w:val="21"/>
                <w:szCs w:val="21"/>
              </w:rPr>
            </w:pPr>
            <w:r>
              <w:rPr>
                <w:rFonts w:hint="eastAsia" w:eastAsia="黑体"/>
                <w:sz w:val="21"/>
                <w:szCs w:val="21"/>
              </w:rPr>
              <w:t>六、大气环境影响调查</w:t>
            </w:r>
          </w:p>
          <w:p>
            <w:pPr>
              <w:spacing w:line="360" w:lineRule="auto"/>
              <w:rPr>
                <w:rFonts w:hint="default"/>
                <w:bCs/>
                <w:color w:val="000000"/>
                <w:sz w:val="21"/>
                <w:szCs w:val="21"/>
                <w:lang w:eastAsia="zh-CN"/>
              </w:rPr>
            </w:pPr>
            <w:r>
              <w:rPr>
                <w:rFonts w:hint="eastAsia" w:ascii="Times New Roman" w:hAnsi="Times New Roman" w:cs="Times New Roman"/>
                <w:color w:val="auto"/>
                <w:sz w:val="21"/>
                <w:szCs w:val="21"/>
                <w:lang w:val="en-US" w:eastAsia="zh-CN"/>
              </w:rPr>
              <w:t xml:space="preserve">    </w:t>
            </w:r>
            <w:r>
              <w:rPr>
                <w:rFonts w:hint="eastAsia"/>
                <w:bCs/>
                <w:color w:val="000000"/>
                <w:sz w:val="21"/>
                <w:szCs w:val="21"/>
                <w:lang w:val="en-US" w:eastAsia="zh-CN"/>
              </w:rPr>
              <w:t>家庭厨房油烟采用</w:t>
            </w:r>
            <w:r>
              <w:rPr>
                <w:rFonts w:hint="default"/>
                <w:bCs/>
                <w:color w:val="000000"/>
                <w:sz w:val="21"/>
                <w:szCs w:val="21"/>
                <w:lang w:eastAsia="zh-CN"/>
              </w:rPr>
              <w:t>家用抽油烟机</w:t>
            </w:r>
            <w:r>
              <w:rPr>
                <w:rFonts w:hint="eastAsia"/>
                <w:bCs/>
                <w:color w:val="000000"/>
                <w:sz w:val="21"/>
                <w:szCs w:val="21"/>
                <w:lang w:eastAsia="zh-CN"/>
              </w:rPr>
              <w:t>处理，由内设油烟道至屋顶排放；地下车库进行抽排通风，</w:t>
            </w:r>
            <w:r>
              <w:rPr>
                <w:rFonts w:hint="default"/>
                <w:bCs/>
                <w:color w:val="000000"/>
                <w:sz w:val="21"/>
                <w:szCs w:val="21"/>
                <w:lang w:eastAsia="zh-CN"/>
              </w:rPr>
              <w:t>通过竖向井引至地面排放，排气筒高于地面</w:t>
            </w:r>
            <w:r>
              <w:rPr>
                <w:rFonts w:hint="eastAsia"/>
                <w:bCs/>
                <w:color w:val="000000"/>
                <w:sz w:val="21"/>
                <w:szCs w:val="21"/>
                <w:lang w:eastAsia="zh-CN"/>
              </w:rPr>
              <w:t>，</w:t>
            </w:r>
            <w:r>
              <w:rPr>
                <w:rFonts w:hint="default"/>
                <w:bCs/>
                <w:color w:val="000000"/>
                <w:sz w:val="21"/>
                <w:szCs w:val="21"/>
                <w:lang w:eastAsia="zh-CN"/>
              </w:rPr>
              <w:t>面向绿化带，背离居民区。地</w:t>
            </w:r>
            <w:r>
              <w:rPr>
                <w:rFonts w:hint="eastAsia"/>
                <w:bCs/>
                <w:color w:val="000000"/>
                <w:sz w:val="21"/>
                <w:szCs w:val="21"/>
                <w:lang w:eastAsia="zh-CN"/>
              </w:rPr>
              <w:t>面</w:t>
            </w:r>
            <w:r>
              <w:rPr>
                <w:rFonts w:hint="default"/>
                <w:bCs/>
                <w:color w:val="000000"/>
                <w:sz w:val="21"/>
                <w:szCs w:val="21"/>
                <w:lang w:eastAsia="zh-CN"/>
              </w:rPr>
              <w:t>空气流通性好，汽车产生的尾气扩散快，影响小。</w:t>
            </w:r>
          </w:p>
          <w:p>
            <w:pPr>
              <w:spacing w:line="360" w:lineRule="auto"/>
              <w:rPr>
                <w:rFonts w:eastAsia="黑体"/>
                <w:sz w:val="21"/>
                <w:szCs w:val="21"/>
              </w:rPr>
            </w:pPr>
            <w:r>
              <w:rPr>
                <w:rFonts w:hint="eastAsia" w:eastAsia="黑体"/>
                <w:sz w:val="21"/>
                <w:szCs w:val="21"/>
              </w:rPr>
              <w:t>七</w:t>
            </w:r>
            <w:r>
              <w:rPr>
                <w:rFonts w:eastAsia="黑体"/>
                <w:sz w:val="21"/>
                <w:szCs w:val="21"/>
              </w:rPr>
              <w:t>、声环境影响调查</w:t>
            </w:r>
          </w:p>
          <w:p>
            <w:pPr>
              <w:spacing w:line="360" w:lineRule="auto"/>
              <w:ind w:firstLine="420" w:firstLineChars="200"/>
              <w:rPr>
                <w:rFonts w:hint="default"/>
                <w:bCs/>
                <w:color w:val="000000"/>
                <w:sz w:val="21"/>
                <w:szCs w:val="21"/>
              </w:rPr>
            </w:pPr>
            <w:r>
              <w:rPr>
                <w:rFonts w:hint="eastAsia"/>
                <w:bCs/>
                <w:color w:val="000000"/>
                <w:sz w:val="21"/>
                <w:szCs w:val="21"/>
                <w:lang w:eastAsia="zh-CN"/>
              </w:rPr>
              <w:t>高噪声设备设置在建筑地下层，加强车辆噪声和商业噪声的管理，加强宣传教育，声环境影响较小。</w:t>
            </w:r>
          </w:p>
          <w:p>
            <w:pPr>
              <w:spacing w:line="360" w:lineRule="auto"/>
              <w:rPr>
                <w:rFonts w:eastAsia="黑体"/>
                <w:color w:val="000000"/>
                <w:sz w:val="21"/>
                <w:szCs w:val="21"/>
              </w:rPr>
            </w:pPr>
            <w:r>
              <w:rPr>
                <w:rFonts w:hint="eastAsia" w:eastAsia="黑体"/>
                <w:color w:val="000000"/>
                <w:sz w:val="21"/>
                <w:szCs w:val="21"/>
                <w:lang w:eastAsia="zh-CN"/>
              </w:rPr>
              <w:t>八</w:t>
            </w:r>
            <w:r>
              <w:rPr>
                <w:rFonts w:eastAsia="黑体"/>
                <w:color w:val="000000"/>
                <w:sz w:val="21"/>
                <w:szCs w:val="21"/>
              </w:rPr>
              <w:t>、固体废物环境影响调查</w:t>
            </w:r>
          </w:p>
          <w:p>
            <w:pPr>
              <w:spacing w:line="360" w:lineRule="auto"/>
              <w:ind w:firstLine="420" w:firstLineChars="200"/>
              <w:rPr>
                <w:rFonts w:hint="default"/>
                <w:bCs/>
                <w:color w:val="000000"/>
                <w:sz w:val="21"/>
                <w:szCs w:val="21"/>
              </w:rPr>
            </w:pPr>
            <w:r>
              <w:rPr>
                <w:rFonts w:hint="default"/>
                <w:bCs/>
                <w:color w:val="000000"/>
                <w:sz w:val="21"/>
                <w:szCs w:val="21"/>
              </w:rPr>
              <w:t>本项目营运时，生活垃圾通过集中收集后，通过环卫部门统一清运，最终运往城市垃圾填埋场，本项目产生的固体废弃物不会对环境造成影响。</w:t>
            </w:r>
          </w:p>
          <w:p>
            <w:pPr>
              <w:spacing w:line="360" w:lineRule="auto"/>
              <w:rPr>
                <w:rFonts w:eastAsia="黑体"/>
                <w:color w:val="000000"/>
                <w:sz w:val="21"/>
                <w:szCs w:val="21"/>
              </w:rPr>
            </w:pPr>
            <w:r>
              <w:rPr>
                <w:rFonts w:hint="eastAsia" w:eastAsia="黑体"/>
                <w:color w:val="000000"/>
                <w:sz w:val="21"/>
                <w:szCs w:val="21"/>
                <w:lang w:eastAsia="zh-CN"/>
              </w:rPr>
              <w:t>九</w:t>
            </w:r>
            <w:r>
              <w:rPr>
                <w:rFonts w:eastAsia="黑体"/>
                <w:color w:val="000000"/>
                <w:sz w:val="21"/>
                <w:szCs w:val="21"/>
              </w:rPr>
              <w:t>、环境管理调查</w:t>
            </w:r>
          </w:p>
          <w:p>
            <w:pPr>
              <w:spacing w:line="360" w:lineRule="auto"/>
              <w:ind w:firstLine="420" w:firstLineChars="200"/>
              <w:rPr>
                <w:bCs/>
                <w:color w:val="000000"/>
                <w:sz w:val="21"/>
                <w:szCs w:val="21"/>
              </w:rPr>
            </w:pPr>
            <w:r>
              <w:rPr>
                <w:bCs/>
                <w:color w:val="000000"/>
                <w:sz w:val="21"/>
                <w:szCs w:val="21"/>
              </w:rPr>
              <w:t>工程在施工期间加强对施工人员的环境保护意识教育，严格按照设计和环保要求进行施工，各项环境管理措施均得到了落实，对环境的影响满足相关验收标准要求。</w:t>
            </w:r>
          </w:p>
          <w:p>
            <w:pPr>
              <w:spacing w:line="360" w:lineRule="auto"/>
              <w:rPr>
                <w:rFonts w:eastAsia="黑体"/>
                <w:color w:val="000000"/>
                <w:sz w:val="21"/>
                <w:szCs w:val="21"/>
              </w:rPr>
            </w:pPr>
            <w:r>
              <w:rPr>
                <w:rFonts w:eastAsia="黑体"/>
                <w:color w:val="000000"/>
                <w:sz w:val="21"/>
                <w:szCs w:val="21"/>
              </w:rPr>
              <w:t>十、</w:t>
            </w:r>
            <w:r>
              <w:rPr>
                <w:rFonts w:hint="eastAsia" w:eastAsia="黑体"/>
                <w:color w:val="000000"/>
                <w:sz w:val="21"/>
                <w:szCs w:val="21"/>
              </w:rPr>
              <w:t>存在问题及补救措施</w:t>
            </w:r>
          </w:p>
          <w:p>
            <w:pPr>
              <w:spacing w:line="360" w:lineRule="auto"/>
              <w:ind w:firstLine="420" w:firstLineChars="200"/>
              <w:rPr>
                <w:rFonts w:hint="eastAsia" w:eastAsiaTheme="minorEastAsia"/>
                <w:b w:val="0"/>
                <w:bCs/>
                <w:color w:val="000000"/>
                <w:sz w:val="21"/>
                <w:szCs w:val="21"/>
                <w:lang w:eastAsia="zh-CN"/>
              </w:rPr>
            </w:pPr>
            <w:r>
              <w:rPr>
                <w:rFonts w:hint="eastAsia"/>
                <w:b w:val="0"/>
                <w:bCs/>
                <w:color w:val="000000"/>
                <w:sz w:val="21"/>
                <w:szCs w:val="21"/>
                <w:lang w:eastAsia="zh-CN"/>
              </w:rPr>
              <w:t>经现调查，项目在建酒店，本次报告不作评价，建议该酒店单独向环保主管部门申请环保验收有关事宜。</w:t>
            </w:r>
          </w:p>
          <w:p>
            <w:pPr>
              <w:spacing w:line="360" w:lineRule="auto"/>
              <w:ind w:firstLine="422" w:firstLineChars="200"/>
              <w:rPr>
                <w:b/>
                <w:color w:val="000000"/>
                <w:sz w:val="21"/>
                <w:szCs w:val="21"/>
              </w:rPr>
            </w:pPr>
          </w:p>
          <w:p>
            <w:pPr>
              <w:spacing w:line="360" w:lineRule="auto"/>
              <w:ind w:firstLine="422" w:firstLineChars="200"/>
              <w:rPr>
                <w:rFonts w:hint="eastAsia" w:eastAsia="黑体"/>
                <w:color w:val="auto"/>
                <w:kern w:val="4"/>
                <w:sz w:val="24"/>
              </w:rPr>
            </w:pPr>
            <w:r>
              <w:rPr>
                <w:b/>
                <w:color w:val="000000"/>
                <w:sz w:val="21"/>
                <w:szCs w:val="21"/>
              </w:rPr>
              <w:t>综上所述，</w:t>
            </w:r>
            <w:r>
              <w:rPr>
                <w:rFonts w:hint="eastAsia"/>
                <w:b/>
                <w:color w:val="000000"/>
                <w:sz w:val="21"/>
                <w:szCs w:val="21"/>
                <w:lang w:eastAsia="zh-CN"/>
              </w:rPr>
              <w:t>贵州·华联城（一期）</w:t>
            </w:r>
            <w:r>
              <w:rPr>
                <w:b/>
                <w:color w:val="000000"/>
                <w:sz w:val="21"/>
                <w:szCs w:val="21"/>
              </w:rPr>
              <w:t>在设计、施工</w:t>
            </w:r>
            <w:r>
              <w:rPr>
                <w:rFonts w:hint="eastAsia"/>
                <w:b/>
                <w:color w:val="000000"/>
                <w:sz w:val="21"/>
                <w:szCs w:val="21"/>
              </w:rPr>
              <w:t>阶段</w:t>
            </w:r>
            <w:r>
              <w:rPr>
                <w:b/>
                <w:color w:val="000000"/>
                <w:sz w:val="21"/>
                <w:szCs w:val="21"/>
              </w:rPr>
              <w:t>采取了</w:t>
            </w:r>
            <w:r>
              <w:rPr>
                <w:rFonts w:hint="eastAsia"/>
                <w:b/>
                <w:color w:val="000000"/>
                <w:sz w:val="21"/>
                <w:szCs w:val="21"/>
              </w:rPr>
              <w:t>诸多</w:t>
            </w:r>
            <w:r>
              <w:rPr>
                <w:b/>
                <w:color w:val="000000"/>
                <w:sz w:val="21"/>
                <w:szCs w:val="21"/>
              </w:rPr>
              <w:t>行之有效的污染防治和生态保护措施，</w:t>
            </w:r>
            <w:r>
              <w:rPr>
                <w:rFonts w:hint="eastAsia"/>
                <w:b/>
                <w:color w:val="000000"/>
                <w:sz w:val="21"/>
                <w:szCs w:val="21"/>
                <w:lang w:eastAsia="zh-CN"/>
              </w:rPr>
              <w:t>运行期按照环境影响报告书</w:t>
            </w:r>
            <w:r>
              <w:rPr>
                <w:b/>
                <w:color w:val="000000"/>
                <w:sz w:val="21"/>
                <w:szCs w:val="21"/>
              </w:rPr>
              <w:t>和各级环境保护主管机关的批复中要求的污染控制措施</w:t>
            </w:r>
            <w:r>
              <w:rPr>
                <w:rFonts w:hint="eastAsia"/>
                <w:b/>
                <w:color w:val="000000"/>
                <w:sz w:val="21"/>
                <w:szCs w:val="21"/>
                <w:lang w:eastAsia="zh-CN"/>
              </w:rPr>
              <w:t>执行，</w:t>
            </w:r>
            <w:r>
              <w:rPr>
                <w:rFonts w:hint="eastAsia"/>
                <w:b/>
                <w:color w:val="auto"/>
                <w:sz w:val="21"/>
                <w:szCs w:val="21"/>
              </w:rPr>
              <w:t>项目具备竣工环境保护验收条件。</w:t>
            </w:r>
          </w:p>
          <w:p>
            <w:pPr>
              <w:spacing w:line="360" w:lineRule="auto"/>
              <w:ind w:firstLine="480" w:firstLineChars="200"/>
              <w:rPr>
                <w:rFonts w:hint="eastAsia" w:eastAsia="黑体"/>
                <w:color w:val="auto"/>
                <w:kern w:val="4"/>
                <w:sz w:val="24"/>
              </w:rPr>
            </w:pPr>
          </w:p>
          <w:p>
            <w:pPr>
              <w:spacing w:line="360" w:lineRule="auto"/>
              <w:ind w:firstLine="480" w:firstLineChars="200"/>
              <w:rPr>
                <w:sz w:val="24"/>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tc>
      </w:tr>
    </w:tbl>
    <w:p>
      <w:pPr>
        <w:spacing w:line="360" w:lineRule="auto"/>
        <w:jc w:val="center"/>
        <w:rPr>
          <w:rFonts w:hint="eastAsia" w:ascii="Times New Roman" w:hAnsi="Times New Roman" w:eastAsia="宋体" w:cs="Times New Roman"/>
          <w:b/>
          <w:bCs/>
          <w:sz w:val="48"/>
          <w:szCs w:val="48"/>
          <w:lang w:val="en-US" w:eastAsia="zh-CN"/>
        </w:rPr>
      </w:pPr>
      <w:r>
        <w:rPr>
          <w:rFonts w:hint="eastAsia" w:ascii="Times New Roman" w:hAnsi="Times New Roman" w:eastAsia="宋体" w:cs="Times New Roman"/>
          <w:b/>
          <w:bCs/>
          <w:sz w:val="28"/>
          <w:szCs w:val="28"/>
          <w:lang w:val="en-US" w:eastAsia="zh-CN"/>
        </w:rPr>
        <w:t>表10  项目现场情况及环保设施图</w:t>
      </w:r>
    </w:p>
    <w:tbl>
      <w:tblPr>
        <w:tblStyle w:val="19"/>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9"/>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9" w:type="dxa"/>
          </w:tcPr>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2578100" cy="1933575"/>
                  <wp:effectExtent l="0" t="0" r="12700" b="9525"/>
                  <wp:docPr id="37" name="图片 37" descr="91629638751539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16296387515399444"/>
                          <pic:cNvPicPr>
                            <a:picLocks noChangeAspect="1"/>
                          </pic:cNvPicPr>
                        </pic:nvPicPr>
                        <pic:blipFill>
                          <a:blip r:embed="rId15"/>
                          <a:stretch>
                            <a:fillRect/>
                          </a:stretch>
                        </pic:blipFill>
                        <pic:spPr>
                          <a:xfrm>
                            <a:off x="0" y="0"/>
                            <a:ext cx="2578100" cy="1933575"/>
                          </a:xfrm>
                          <a:prstGeom prst="rect">
                            <a:avLst/>
                          </a:prstGeom>
                        </pic:spPr>
                      </pic:pic>
                    </a:graphicData>
                  </a:graphic>
                </wp:inline>
              </w:drawing>
            </w:r>
          </w:p>
        </w:tc>
        <w:tc>
          <w:tcPr>
            <w:tcW w:w="4280" w:type="dxa"/>
          </w:tcPr>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2578100" cy="1933575"/>
                  <wp:effectExtent l="0" t="0" r="12700" b="9525"/>
                  <wp:docPr id="38" name="图片 38" descr="8107352647503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1073526475037327"/>
                          <pic:cNvPicPr>
                            <a:picLocks noChangeAspect="1"/>
                          </pic:cNvPicPr>
                        </pic:nvPicPr>
                        <pic:blipFill>
                          <a:blip r:embed="rId16"/>
                          <a:stretch>
                            <a:fillRect/>
                          </a:stretch>
                        </pic:blipFill>
                        <pic:spPr>
                          <a:xfrm>
                            <a:off x="0" y="0"/>
                            <a:ext cx="2578100" cy="1933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59" w:type="dxa"/>
            <w:gridSpan w:val="2"/>
          </w:tcPr>
          <w:p>
            <w:pPr>
              <w:spacing w:line="360" w:lineRule="auto"/>
              <w:jc w:val="cente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项目建成后现状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9" w:type="dxa"/>
          </w:tcPr>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2578100" cy="1933575"/>
                  <wp:effectExtent l="0" t="0" r="12700" b="9525"/>
                  <wp:docPr id="6" name="图片 6" descr="56905955603789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9059556037897457"/>
                          <pic:cNvPicPr>
                            <a:picLocks noChangeAspect="1"/>
                          </pic:cNvPicPr>
                        </pic:nvPicPr>
                        <pic:blipFill>
                          <a:blip r:embed="rId17"/>
                          <a:stretch>
                            <a:fillRect/>
                          </a:stretch>
                        </pic:blipFill>
                        <pic:spPr>
                          <a:xfrm>
                            <a:off x="0" y="0"/>
                            <a:ext cx="2578100" cy="1933575"/>
                          </a:xfrm>
                          <a:prstGeom prst="rect">
                            <a:avLst/>
                          </a:prstGeom>
                        </pic:spPr>
                      </pic:pic>
                    </a:graphicData>
                  </a:graphic>
                </wp:inline>
              </w:drawing>
            </w:r>
          </w:p>
        </w:tc>
        <w:tc>
          <w:tcPr>
            <w:tcW w:w="4280" w:type="dxa"/>
          </w:tcPr>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2571750" cy="1980565"/>
                  <wp:effectExtent l="0" t="0" r="0" b="635"/>
                  <wp:docPr id="7" name="图片 7" descr="72368217901218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3682179012185205"/>
                          <pic:cNvPicPr>
                            <a:picLocks noChangeAspect="1"/>
                          </pic:cNvPicPr>
                        </pic:nvPicPr>
                        <pic:blipFill>
                          <a:blip r:embed="rId18"/>
                          <a:srcRect t="20559" b="21671"/>
                          <a:stretch>
                            <a:fillRect/>
                          </a:stretch>
                        </pic:blipFill>
                        <pic:spPr>
                          <a:xfrm>
                            <a:off x="0" y="0"/>
                            <a:ext cx="2571750"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9" w:type="dxa"/>
          </w:tcPr>
          <w:p>
            <w:pPr>
              <w:spacing w:line="360" w:lineRule="auto"/>
              <w:jc w:val="cente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绿化</w:t>
            </w:r>
          </w:p>
        </w:tc>
        <w:tc>
          <w:tcPr>
            <w:tcW w:w="4280" w:type="dxa"/>
          </w:tcPr>
          <w:p>
            <w:pPr>
              <w:spacing w:line="360" w:lineRule="auto"/>
              <w:jc w:val="cente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生活垃圾收集处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79" w:type="dxa"/>
          </w:tcPr>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2571750" cy="2780665"/>
                  <wp:effectExtent l="0" t="0" r="0" b="635"/>
                  <wp:docPr id="26" name="图片 26" descr="702232215291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0223221529141926"/>
                          <pic:cNvPicPr>
                            <a:picLocks noChangeAspect="1"/>
                          </pic:cNvPicPr>
                        </pic:nvPicPr>
                        <pic:blipFill>
                          <a:blip r:embed="rId19"/>
                          <a:srcRect b="18892"/>
                          <a:stretch>
                            <a:fillRect/>
                          </a:stretch>
                        </pic:blipFill>
                        <pic:spPr>
                          <a:xfrm>
                            <a:off x="0" y="0"/>
                            <a:ext cx="2571750" cy="2780665"/>
                          </a:xfrm>
                          <a:prstGeom prst="rect">
                            <a:avLst/>
                          </a:prstGeom>
                        </pic:spPr>
                      </pic:pic>
                    </a:graphicData>
                  </a:graphic>
                </wp:inline>
              </w:drawing>
            </w:r>
          </w:p>
        </w:tc>
        <w:tc>
          <w:tcPr>
            <w:tcW w:w="4280" w:type="dxa"/>
          </w:tcPr>
          <w:p>
            <w:pPr>
              <w:spacing w:line="360" w:lineRule="auto"/>
              <w:jc w:val="center"/>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2571750" cy="2771140"/>
                  <wp:effectExtent l="0" t="0" r="0" b="10160"/>
                  <wp:docPr id="36" name="图片 36" descr="56610589992388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66105899923881246"/>
                          <pic:cNvPicPr>
                            <a:picLocks noChangeAspect="1"/>
                          </pic:cNvPicPr>
                        </pic:nvPicPr>
                        <pic:blipFill>
                          <a:blip r:embed="rId20"/>
                          <a:srcRect b="19170"/>
                          <a:stretch>
                            <a:fillRect/>
                          </a:stretch>
                        </pic:blipFill>
                        <pic:spPr>
                          <a:xfrm>
                            <a:off x="0" y="0"/>
                            <a:ext cx="2571750" cy="2771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59" w:type="dxa"/>
            <w:gridSpan w:val="2"/>
          </w:tcPr>
          <w:p>
            <w:pPr>
              <w:spacing w:line="360" w:lineRule="auto"/>
              <w:jc w:val="center"/>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化粪池</w:t>
            </w:r>
          </w:p>
        </w:tc>
      </w:tr>
    </w:tbl>
    <w:p>
      <w:pPr>
        <w:spacing w:line="360" w:lineRule="auto"/>
        <w:ind w:firstLine="560"/>
        <w:jc w:val="right"/>
        <w:rPr>
          <w:rFonts w:hint="eastAsia"/>
          <w:sz w:val="28"/>
          <w:szCs w:val="28"/>
          <w:lang w:val="en-US" w:eastAsia="zh-CN"/>
        </w:rPr>
      </w:pPr>
    </w:p>
    <w:p>
      <w:pPr>
        <w:spacing w:line="360" w:lineRule="auto"/>
        <w:jc w:val="both"/>
        <w:rPr>
          <w:rFonts w:hint="eastAsia"/>
          <w:sz w:val="28"/>
          <w:szCs w:val="28"/>
          <w:lang w:val="en-US" w:eastAsia="zh-CN"/>
        </w:rPr>
      </w:pPr>
      <w:r>
        <w:rPr>
          <w:rFonts w:hint="eastAsia"/>
          <w:sz w:val="28"/>
          <w:szCs w:val="28"/>
          <w:lang w:val="en-US" w:eastAsia="zh-CN"/>
        </w:rPr>
        <w:t>附件1  兴义市环境保护局批复</w:t>
      </w:r>
    </w:p>
    <w:p>
      <w:pPr>
        <w:spacing w:line="360" w:lineRule="auto"/>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1" name="图片 51" descr="Doc2018052209475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oc201805220947510004"/>
                    <pic:cNvPicPr>
                      <a:picLocks noChangeAspect="1"/>
                    </pic:cNvPicPr>
                  </pic:nvPicPr>
                  <pic:blipFill>
                    <a:blip r:embed="rId21"/>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2" name="图片 52" descr="Doc2018052209475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oc201805220947510005"/>
                    <pic:cNvPicPr>
                      <a:picLocks noChangeAspect="1"/>
                    </pic:cNvPicPr>
                  </pic:nvPicPr>
                  <pic:blipFill>
                    <a:blip r:embed="rId22"/>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3" name="图片 53" descr="Doc2018052209475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oc201805220947510006"/>
                    <pic:cNvPicPr>
                      <a:picLocks noChangeAspect="1"/>
                    </pic:cNvPicPr>
                  </pic:nvPicPr>
                  <pic:blipFill>
                    <a:blip r:embed="rId23"/>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4" name="图片 54" descr="Doc2018052209475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oc201805220947510007"/>
                    <pic:cNvPicPr>
                      <a:picLocks noChangeAspect="1"/>
                    </pic:cNvPicPr>
                  </pic:nvPicPr>
                  <pic:blipFill>
                    <a:blip r:embed="rId24"/>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5" name="图片 55" descr="Doc2018052209475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oc201805220947510008"/>
                    <pic:cNvPicPr>
                      <a:picLocks noChangeAspect="1"/>
                    </pic:cNvPicPr>
                  </pic:nvPicPr>
                  <pic:blipFill>
                    <a:blip r:embed="rId25"/>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6" name="图片 56" descr="Doc2018052209475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oc201805220947510009"/>
                    <pic:cNvPicPr>
                      <a:picLocks noChangeAspect="1"/>
                    </pic:cNvPicPr>
                  </pic:nvPicPr>
                  <pic:blipFill>
                    <a:blip r:embed="rId26"/>
                    <a:stretch>
                      <a:fillRect/>
                    </a:stretch>
                  </pic:blipFill>
                  <pic:spPr>
                    <a:xfrm>
                      <a:off x="0" y="0"/>
                      <a:ext cx="5271135" cy="7494905"/>
                    </a:xfrm>
                    <a:prstGeom prst="rect">
                      <a:avLst/>
                    </a:prstGeom>
                  </pic:spPr>
                </pic:pic>
              </a:graphicData>
            </a:graphic>
          </wp:inline>
        </w:drawing>
      </w:r>
      <w:r>
        <w:rPr>
          <w:rFonts w:hint="default" w:ascii="Times New Roman" w:hAnsi="Times New Roman" w:eastAsia="宋体" w:cs="Times New Roman"/>
          <w:b/>
          <w:bCs/>
          <w:sz w:val="28"/>
          <w:szCs w:val="28"/>
          <w:lang w:val="en-US" w:eastAsia="zh-CN"/>
        </w:rPr>
        <w:drawing>
          <wp:inline distT="0" distB="0" distL="114300" distR="114300">
            <wp:extent cx="5271135" cy="7494905"/>
            <wp:effectExtent l="0" t="0" r="5715" b="10795"/>
            <wp:docPr id="57" name="图片 57" descr="Doc2018052209475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oc201805220947510010"/>
                    <pic:cNvPicPr>
                      <a:picLocks noChangeAspect="1"/>
                    </pic:cNvPicPr>
                  </pic:nvPicPr>
                  <pic:blipFill>
                    <a:blip r:embed="rId27"/>
                    <a:stretch>
                      <a:fillRect/>
                    </a:stretch>
                  </pic:blipFill>
                  <pic:spPr>
                    <a:xfrm>
                      <a:off x="0" y="0"/>
                      <a:ext cx="5271135" cy="7494905"/>
                    </a:xfrm>
                    <a:prstGeom prst="rect">
                      <a:avLst/>
                    </a:prstGeom>
                  </pic:spPr>
                </pic:pic>
              </a:graphicData>
            </a:graphic>
          </wp:inline>
        </w:drawing>
      </w: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spacing w:line="360" w:lineRule="auto"/>
        <w:jc w:val="both"/>
        <w:rPr>
          <w:rFonts w:hint="default" w:ascii="Times New Roman" w:hAnsi="Times New Roman" w:eastAsia="宋体" w:cs="Times New Roman"/>
          <w:b/>
          <w:bCs/>
          <w:sz w:val="28"/>
          <w:szCs w:val="28"/>
          <w:lang w:val="en-US" w:eastAsia="zh-CN"/>
        </w:rPr>
      </w:pPr>
    </w:p>
    <w:p>
      <w:pPr>
        <w:rPr>
          <w:rFonts w:hint="default" w:asciiTheme="minorAscii" w:hAnsiTheme="minorAscii" w:eastAsiaTheme="minorEastAsia" w:cstheme="minorBidi"/>
          <w:kern w:val="2"/>
          <w:sz w:val="28"/>
          <w:szCs w:val="28"/>
          <w:lang w:val="en-US" w:eastAsia="zh-CN" w:bidi="ar-SA"/>
        </w:rPr>
      </w:pPr>
      <w:r>
        <w:rPr>
          <w:rFonts w:hint="eastAsia"/>
          <w:sz w:val="28"/>
          <w:szCs w:val="28"/>
          <w:lang w:val="en-US" w:eastAsia="zh-CN"/>
        </w:rPr>
        <w:t>附件2  兴义市发展和改革局文件</w:t>
      </w:r>
    </w:p>
    <w:p>
      <w:pPr>
        <w:rPr>
          <w:rFonts w:hint="default" w:asciiTheme="minorAscii" w:hAnsiTheme="minorAscii" w:eastAsiaTheme="minorEastAsia" w:cstheme="minorBidi"/>
          <w:kern w:val="2"/>
          <w:sz w:val="28"/>
          <w:szCs w:val="28"/>
          <w:lang w:val="en-US" w:eastAsia="zh-CN" w:bidi="ar-SA"/>
        </w:rPr>
      </w:pPr>
      <w:r>
        <w:rPr>
          <w:rFonts w:hint="default" w:asciiTheme="minorAscii" w:hAnsiTheme="minorAscii" w:eastAsiaTheme="minorEastAsia" w:cstheme="minorBidi"/>
          <w:kern w:val="2"/>
          <w:sz w:val="28"/>
          <w:szCs w:val="28"/>
          <w:lang w:val="en-US" w:eastAsia="zh-CN" w:bidi="ar-SA"/>
        </w:rPr>
        <w:drawing>
          <wp:inline distT="0" distB="0" distL="114300" distR="114300">
            <wp:extent cx="5271135" cy="7494905"/>
            <wp:effectExtent l="0" t="0" r="5715" b="10795"/>
            <wp:docPr id="58" name="图片 58" descr="Doc2018052209515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oc201805220951500002"/>
                    <pic:cNvPicPr>
                      <a:picLocks noChangeAspect="1"/>
                    </pic:cNvPicPr>
                  </pic:nvPicPr>
                  <pic:blipFill>
                    <a:blip r:embed="rId28"/>
                    <a:stretch>
                      <a:fillRect/>
                    </a:stretch>
                  </pic:blipFill>
                  <pic:spPr>
                    <a:xfrm>
                      <a:off x="0" y="0"/>
                      <a:ext cx="5271135" cy="7494905"/>
                    </a:xfrm>
                    <a:prstGeom prst="rect">
                      <a:avLst/>
                    </a:prstGeom>
                  </pic:spPr>
                </pic:pic>
              </a:graphicData>
            </a:graphic>
          </wp:inline>
        </w:drawing>
      </w:r>
      <w:r>
        <w:rPr>
          <w:rFonts w:hint="default" w:asciiTheme="minorAscii" w:hAnsiTheme="minorAscii" w:eastAsiaTheme="minorEastAsia" w:cstheme="minorBidi"/>
          <w:kern w:val="2"/>
          <w:sz w:val="28"/>
          <w:szCs w:val="28"/>
          <w:lang w:val="en-US" w:eastAsia="zh-CN" w:bidi="ar-SA"/>
        </w:rPr>
        <w:drawing>
          <wp:inline distT="0" distB="0" distL="114300" distR="114300">
            <wp:extent cx="5271135" cy="7494905"/>
            <wp:effectExtent l="0" t="0" r="5715" b="10795"/>
            <wp:docPr id="59" name="图片 59" descr="Doc2018052209515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c201805220951500003"/>
                    <pic:cNvPicPr>
                      <a:picLocks noChangeAspect="1"/>
                    </pic:cNvPicPr>
                  </pic:nvPicPr>
                  <pic:blipFill>
                    <a:blip r:embed="rId29"/>
                    <a:stretch>
                      <a:fillRect/>
                    </a:stretch>
                  </pic:blipFill>
                  <pic:spPr>
                    <a:xfrm>
                      <a:off x="0" y="0"/>
                      <a:ext cx="5271135" cy="7494905"/>
                    </a:xfrm>
                    <a:prstGeom prst="rect">
                      <a:avLst/>
                    </a:prstGeom>
                  </pic:spPr>
                </pic:pic>
              </a:graphicData>
            </a:graphic>
          </wp:inline>
        </w:drawing>
      </w:r>
      <w:r>
        <w:rPr>
          <w:rFonts w:hint="default" w:asciiTheme="minorAscii" w:hAnsiTheme="minorAscii" w:eastAsiaTheme="minorEastAsia" w:cstheme="minorBidi"/>
          <w:kern w:val="2"/>
          <w:sz w:val="28"/>
          <w:szCs w:val="28"/>
          <w:lang w:val="en-US" w:eastAsia="zh-CN" w:bidi="ar-SA"/>
        </w:rPr>
        <w:drawing>
          <wp:inline distT="0" distB="0" distL="114300" distR="114300">
            <wp:extent cx="5271135" cy="7494905"/>
            <wp:effectExtent l="0" t="0" r="5715" b="10795"/>
            <wp:docPr id="60" name="图片 60" descr="Doc2018052209475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oc201805220947510001"/>
                    <pic:cNvPicPr>
                      <a:picLocks noChangeAspect="1"/>
                    </pic:cNvPicPr>
                  </pic:nvPicPr>
                  <pic:blipFill>
                    <a:blip r:embed="rId30"/>
                    <a:stretch>
                      <a:fillRect/>
                    </a:stretch>
                  </pic:blipFill>
                  <pic:spPr>
                    <a:xfrm>
                      <a:off x="0" y="0"/>
                      <a:ext cx="5271135" cy="7494905"/>
                    </a:xfrm>
                    <a:prstGeom prst="rect">
                      <a:avLst/>
                    </a:prstGeom>
                  </pic:spPr>
                </pic:pic>
              </a:graphicData>
            </a:graphic>
          </wp:inline>
        </w:drawing>
      </w:r>
      <w:r>
        <w:rPr>
          <w:rFonts w:hint="default" w:asciiTheme="minorAscii" w:hAnsiTheme="minorAscii" w:eastAsiaTheme="minorEastAsia" w:cstheme="minorBidi"/>
          <w:kern w:val="2"/>
          <w:sz w:val="28"/>
          <w:szCs w:val="28"/>
          <w:lang w:val="en-US" w:eastAsia="zh-CN" w:bidi="ar-SA"/>
        </w:rPr>
        <w:drawing>
          <wp:inline distT="0" distB="0" distL="114300" distR="114300">
            <wp:extent cx="5271135" cy="7494905"/>
            <wp:effectExtent l="0" t="0" r="5715" b="10795"/>
            <wp:docPr id="61" name="图片 61" descr="Doc20180522095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c201805220951500001"/>
                    <pic:cNvPicPr>
                      <a:picLocks noChangeAspect="1"/>
                    </pic:cNvPicPr>
                  </pic:nvPicPr>
                  <pic:blipFill>
                    <a:blip r:embed="rId31"/>
                    <a:stretch>
                      <a:fillRect/>
                    </a:stretch>
                  </pic:blipFill>
                  <pic:spPr>
                    <a:xfrm>
                      <a:off x="0" y="0"/>
                      <a:ext cx="5271135" cy="7494905"/>
                    </a:xfrm>
                    <a:prstGeom prst="rect">
                      <a:avLst/>
                    </a:prstGeom>
                  </pic:spPr>
                </pic:pic>
              </a:graphicData>
            </a:graphic>
          </wp:inline>
        </w:drawing>
      </w:r>
    </w:p>
    <w:p>
      <w:pPr>
        <w:rPr>
          <w:rFonts w:hint="default" w:asciiTheme="minorAscii" w:hAnsiTheme="minorAscii" w:eastAsiaTheme="minorEastAsia" w:cstheme="minorBidi"/>
          <w:kern w:val="2"/>
          <w:sz w:val="28"/>
          <w:szCs w:val="28"/>
          <w:lang w:val="en-US" w:eastAsia="zh-CN" w:bidi="ar-SA"/>
        </w:rPr>
      </w:pPr>
    </w:p>
    <w:p>
      <w:pPr>
        <w:tabs>
          <w:tab w:val="left" w:pos="1401"/>
        </w:tabs>
        <w:jc w:val="left"/>
        <w:rPr>
          <w:rFonts w:hint="eastAsia" w:cstheme="minorBidi"/>
          <w:kern w:val="2"/>
          <w:sz w:val="28"/>
          <w:szCs w:val="28"/>
          <w:lang w:val="en-US" w:eastAsia="zh-CN" w:bidi="ar-SA"/>
        </w:rPr>
      </w:pPr>
    </w:p>
    <w:p>
      <w:pPr>
        <w:tabs>
          <w:tab w:val="left" w:pos="1401"/>
        </w:tabs>
        <w:jc w:val="left"/>
        <w:rPr>
          <w:rFonts w:hint="default" w:asciiTheme="minorAscii" w:hAnsiTheme="minorAscii" w:eastAsiaTheme="minorEastAsia" w:cstheme="minorBidi"/>
          <w:kern w:val="2"/>
          <w:sz w:val="28"/>
          <w:szCs w:val="28"/>
          <w:lang w:val="en-US" w:eastAsia="zh-CN" w:bidi="ar-SA"/>
        </w:rPr>
      </w:pPr>
    </w:p>
    <w:p>
      <w:pPr>
        <w:tabs>
          <w:tab w:val="left" w:pos="1401"/>
        </w:tabs>
        <w:jc w:val="left"/>
        <w:rPr>
          <w:rFonts w:hint="default" w:cstheme="minorBidi"/>
          <w:kern w:val="2"/>
          <w:sz w:val="28"/>
          <w:szCs w:val="28"/>
          <w:lang w:val="en-US" w:eastAsia="zh-CN" w:bidi="ar-SA"/>
        </w:rPr>
      </w:pPr>
      <w:r>
        <w:rPr>
          <w:rFonts w:hint="eastAsia" w:cstheme="minorBidi"/>
          <w:kern w:val="2"/>
          <w:sz w:val="28"/>
          <w:szCs w:val="28"/>
          <w:lang w:val="en-US" w:eastAsia="zh-CN" w:bidi="ar-SA"/>
        </w:rPr>
        <w:t>附件3 国有土地使用证</w:t>
      </w:r>
    </w:p>
    <w:p>
      <w:pPr>
        <w:tabs>
          <w:tab w:val="left" w:pos="613"/>
        </w:tabs>
        <w:jc w:val="left"/>
        <w:rPr>
          <w:rFonts w:hint="default" w:cstheme="minorBidi"/>
          <w:kern w:val="2"/>
          <w:sz w:val="28"/>
          <w:szCs w:val="28"/>
          <w:lang w:val="en-US" w:eastAsia="zh-CN" w:bidi="ar-SA"/>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cstheme="minorBidi"/>
          <w:kern w:val="2"/>
          <w:sz w:val="28"/>
          <w:szCs w:val="28"/>
          <w:lang w:val="en-US" w:eastAsia="zh-CN" w:bidi="ar-SA"/>
        </w:rPr>
        <w:drawing>
          <wp:inline distT="0" distB="0" distL="114300" distR="114300">
            <wp:extent cx="5270500" cy="3707130"/>
            <wp:effectExtent l="0" t="0" r="6350" b="7620"/>
            <wp:docPr id="62" name="图片 62" descr="Doc2018052209515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oc201805220951500004"/>
                    <pic:cNvPicPr>
                      <a:picLocks noChangeAspect="1"/>
                    </pic:cNvPicPr>
                  </pic:nvPicPr>
                  <pic:blipFill>
                    <a:blip r:embed="rId32"/>
                    <a:stretch>
                      <a:fillRect/>
                    </a:stretch>
                  </pic:blipFill>
                  <pic:spPr>
                    <a:xfrm>
                      <a:off x="0" y="0"/>
                      <a:ext cx="5270500" cy="3707130"/>
                    </a:xfrm>
                    <a:prstGeom prst="rect">
                      <a:avLst/>
                    </a:prstGeom>
                  </pic:spPr>
                </pic:pic>
              </a:graphicData>
            </a:graphic>
          </wp:inline>
        </w:drawing>
      </w:r>
    </w:p>
    <w:p>
      <w:pPr>
        <w:tabs>
          <w:tab w:val="left" w:pos="613"/>
        </w:tabs>
        <w:jc w:val="left"/>
        <w:rPr>
          <w:rFonts w:hint="eastAsia" w:cstheme="minorBidi"/>
          <w:kern w:val="2"/>
          <w:sz w:val="28"/>
          <w:szCs w:val="28"/>
          <w:lang w:val="en-US" w:eastAsia="zh-CN" w:bidi="ar-SA"/>
        </w:rPr>
      </w:pPr>
      <w:r>
        <w:rPr>
          <w:rFonts w:hint="eastAsia" w:cstheme="minorBidi"/>
          <w:kern w:val="2"/>
          <w:sz w:val="28"/>
          <w:szCs w:val="28"/>
          <w:lang w:val="en-US" w:eastAsia="zh-CN" w:bidi="ar-SA"/>
        </w:rPr>
        <w:t>附件4 建设项目竣工环境保护验收人员名单</w:t>
      </w:r>
    </w:p>
    <w:p>
      <w:pPr>
        <w:tabs>
          <w:tab w:val="left" w:pos="613"/>
        </w:tabs>
        <w:jc w:val="left"/>
        <w:rPr>
          <w:rFonts w:hint="default" w:cstheme="minorBidi"/>
          <w:kern w:val="2"/>
          <w:sz w:val="28"/>
          <w:szCs w:val="28"/>
          <w:lang w:val="en-US" w:eastAsia="zh-CN" w:bidi="ar-SA"/>
        </w:rPr>
      </w:pPr>
    </w:p>
    <w:p>
      <w:pPr>
        <w:tabs>
          <w:tab w:val="left" w:pos="613"/>
        </w:tabs>
        <w:jc w:val="left"/>
        <w:rPr>
          <w:rFonts w:hint="default" w:cstheme="minorBidi"/>
          <w:kern w:val="2"/>
          <w:sz w:val="28"/>
          <w:szCs w:val="28"/>
          <w:lang w:val="en-US" w:eastAsia="zh-CN" w:bidi="ar-SA"/>
        </w:rPr>
      </w:pPr>
      <w:r>
        <w:rPr>
          <w:rFonts w:hint="default" w:cstheme="minorBidi"/>
          <w:kern w:val="2"/>
          <w:sz w:val="28"/>
          <w:szCs w:val="28"/>
          <w:lang w:val="en-US" w:eastAsia="zh-CN" w:bidi="ar-SA"/>
        </w:rPr>
        <w:drawing>
          <wp:inline distT="0" distB="0" distL="114300" distR="114300">
            <wp:extent cx="5271135" cy="7494905"/>
            <wp:effectExtent l="0" t="0" r="5715" b="10795"/>
            <wp:docPr id="63" name="图片 63" descr="Doc2018052209475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oc201805220947510002"/>
                    <pic:cNvPicPr>
                      <a:picLocks noChangeAspect="1"/>
                    </pic:cNvPicPr>
                  </pic:nvPicPr>
                  <pic:blipFill>
                    <a:blip r:embed="rId33"/>
                    <a:stretch>
                      <a:fillRect/>
                    </a:stretch>
                  </pic:blipFill>
                  <pic:spPr>
                    <a:xfrm>
                      <a:off x="0" y="0"/>
                      <a:ext cx="5271135" cy="7494905"/>
                    </a:xfrm>
                    <a:prstGeom prst="rect">
                      <a:avLst/>
                    </a:prstGeom>
                  </pic:spPr>
                </pic:pic>
              </a:graphicData>
            </a:graphic>
          </wp:inline>
        </w:drawing>
      </w:r>
    </w:p>
    <w:p>
      <w:pPr>
        <w:tabs>
          <w:tab w:val="left" w:pos="613"/>
        </w:tabs>
        <w:jc w:val="left"/>
        <w:rPr>
          <w:rFonts w:hint="default" w:cstheme="minorBidi"/>
          <w:kern w:val="2"/>
          <w:sz w:val="28"/>
          <w:szCs w:val="28"/>
          <w:lang w:val="en-US" w:eastAsia="zh-CN" w:bidi="ar-SA"/>
        </w:rPr>
      </w:pPr>
    </w:p>
    <w:p>
      <w:pPr>
        <w:tabs>
          <w:tab w:val="left" w:pos="613"/>
        </w:tabs>
        <w:jc w:val="left"/>
        <w:rPr>
          <w:rFonts w:hint="eastAsia" w:cstheme="minorBidi"/>
          <w:kern w:val="2"/>
          <w:sz w:val="28"/>
          <w:szCs w:val="28"/>
          <w:lang w:val="en-US" w:eastAsia="zh-CN" w:bidi="ar-SA"/>
        </w:rPr>
      </w:pPr>
      <w:r>
        <w:rPr>
          <w:rFonts w:hint="eastAsia" w:cstheme="minorBidi"/>
          <w:kern w:val="2"/>
          <w:sz w:val="28"/>
          <w:szCs w:val="28"/>
          <w:lang w:val="en-US" w:eastAsia="zh-CN" w:bidi="ar-SA"/>
        </w:rPr>
        <w:t>附件5 委托书</w:t>
      </w:r>
    </w:p>
    <w:p>
      <w:pPr>
        <w:tabs>
          <w:tab w:val="left" w:pos="613"/>
        </w:tabs>
        <w:jc w:val="left"/>
        <w:rPr>
          <w:rFonts w:hint="default" w:cstheme="minorBidi"/>
          <w:kern w:val="2"/>
          <w:sz w:val="28"/>
          <w:szCs w:val="28"/>
          <w:lang w:val="en-US" w:eastAsia="zh-CN" w:bidi="ar-SA"/>
        </w:rPr>
      </w:pPr>
      <w:r>
        <w:rPr>
          <w:rFonts w:hint="default" w:cstheme="minorBidi"/>
          <w:kern w:val="2"/>
          <w:sz w:val="28"/>
          <w:szCs w:val="28"/>
          <w:lang w:val="en-US" w:eastAsia="zh-CN" w:bidi="ar-SA"/>
        </w:rPr>
        <w:drawing>
          <wp:inline distT="0" distB="0" distL="114300" distR="114300">
            <wp:extent cx="5271135" cy="7494905"/>
            <wp:effectExtent l="0" t="0" r="5715" b="10795"/>
            <wp:docPr id="64" name="图片 64" descr="Doc2018052209475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oc201805220947510003"/>
                    <pic:cNvPicPr>
                      <a:picLocks noChangeAspect="1"/>
                    </pic:cNvPicPr>
                  </pic:nvPicPr>
                  <pic:blipFill>
                    <a:blip r:embed="rId34"/>
                    <a:stretch>
                      <a:fillRect/>
                    </a:stretch>
                  </pic:blipFill>
                  <pic:spPr>
                    <a:xfrm>
                      <a:off x="0" y="0"/>
                      <a:ext cx="5271135" cy="7494905"/>
                    </a:xfrm>
                    <a:prstGeom prst="rect">
                      <a:avLst/>
                    </a:prstGeom>
                  </pic:spPr>
                </pic:pic>
              </a:graphicData>
            </a:graphic>
          </wp:inline>
        </w:drawing>
      </w:r>
      <w:bookmarkStart w:id="0" w:name="_GoBack"/>
      <w:bookmarkEnd w:id="0"/>
    </w:p>
    <w:sectPr>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decorative"/>
    <w:pitch w:val="default"/>
    <w:sig w:usb0="00000000" w:usb1="00000000" w:usb2="00000000" w:usb3="00000000" w:csb0="00040000" w:csb1="00000000"/>
  </w:font>
  <w:font w:name="汉鼎简书宋">
    <w:altName w:val="宋体"/>
    <w:panose1 w:val="0201060901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eastAsiaTheme="minorEastAsia"/>
        <w:lang w:eastAsia="zh-CN"/>
      </w:rPr>
    </w:pPr>
    <w:r>
      <w:rPr>
        <w:rFonts w:hint="eastAsia"/>
        <w:lang w:eastAsia="zh-CN"/>
      </w:rPr>
      <w:t>贵州省洪鑫环境检测服务有限公司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eastAsiaTheme="minorEastAsia"/>
        <w:lang w:eastAsia="zh-CN"/>
      </w:rPr>
    </w:pPr>
    <w:r>
      <w:rPr>
        <w:rFonts w:hint="eastAsia"/>
        <w:lang w:eastAsia="zh-CN"/>
      </w:rPr>
      <w:t>贵州省洪鑫环境检测服务有限公司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eastAsiaTheme="minorEastAsia"/>
        <w:lang w:eastAsia="zh-CN"/>
      </w:rPr>
    </w:pPr>
    <w:r>
      <w:rPr>
        <w:rFonts w:hint="eastAsia"/>
        <w:lang w:eastAsia="zh-CN"/>
      </w:rPr>
      <w:t>贵州省洪鑫环境检测服务有限公司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eastAsiaTheme="minorEastAsia"/>
        <w:lang w:eastAsia="zh-CN"/>
      </w:rPr>
    </w:pPr>
    <w:r>
      <w:rPr>
        <w:rFonts w:hint="eastAsia"/>
        <w:lang w:eastAsia="zh-CN"/>
      </w:rPr>
      <w:t>贵州省洪鑫环境检测服务有限公司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5</w:t>
                    </w:r>
                    <w:r>
                      <w:rPr>
                        <w:rFonts w:hint="eastAsia"/>
                        <w:sz w:val="18"/>
                        <w:lang w:eastAsia="zh-CN"/>
                      </w:rPr>
                      <w:fldChar w:fldCharType="end"/>
                    </w:r>
                  </w:p>
                </w:txbxContent>
              </v:textbox>
            </v:shape>
          </w:pict>
        </mc:Fallback>
      </mc:AlternateContent>
    </w:r>
    <w:r>
      <w:rPr>
        <w:rFonts w:hint="eastAsia"/>
        <w:lang w:eastAsia="zh-CN"/>
      </w:rPr>
      <w:t>贵州省洪鑫环境检测服务有限公司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both"/>
      <w:rPr>
        <w:b w:val="0"/>
        <w:bCs w:val="0"/>
        <w:sz w:val="13"/>
        <w:szCs w:val="18"/>
      </w:rPr>
    </w:pPr>
    <w:r>
      <w:rPr>
        <w:rFonts w:hint="eastAsia"/>
        <w:b w:val="0"/>
        <w:bCs w:val="0"/>
        <w:sz w:val="21"/>
        <w:szCs w:val="21"/>
        <w:u w:val="none"/>
        <w:lang w:val="en-US" w:eastAsia="zh-CN"/>
      </w:rPr>
      <w:t xml:space="preserve">               </w:t>
    </w:r>
    <w:r>
      <w:rPr>
        <w:rFonts w:hint="eastAsia"/>
        <w:b w:val="0"/>
        <w:bCs w:val="0"/>
        <w:sz w:val="21"/>
        <w:szCs w:val="21"/>
        <w:u w:val="none"/>
        <w:lang w:eastAsia="zh-CN"/>
      </w:rPr>
      <w:t>贵州·华联城（一期）竣工环境保护验收调查报告表</w:t>
    </w:r>
    <w:r>
      <w:rPr>
        <w:rFonts w:hint="eastAsia"/>
        <w:b w:val="0"/>
        <w:bCs w:val="0"/>
        <w:sz w:val="21"/>
        <w:szCs w:val="21"/>
        <w:u w:val="none"/>
        <w:lang w:val="en-US" w:eastAsia="zh-CN"/>
      </w:rPr>
      <w:t xml:space="preserve"> </w:t>
    </w:r>
    <w:r>
      <w:rPr>
        <w:rFonts w:hint="eastAsia"/>
        <w:b w:val="0"/>
        <w:bCs w:val="0"/>
        <w:sz w:val="21"/>
        <w:szCs w:val="21"/>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pPr>
        <w:tabs>
          <w:tab w:val="left" w:pos="425"/>
        </w:tabs>
        <w:ind w:left="425" w:hanging="425"/>
      </w:pPr>
    </w:lvl>
    <w:lvl w:ilvl="1" w:tentative="0">
      <w:start w:val="1"/>
      <w:numFmt w:val="decimal"/>
      <w:pStyle w:val="3"/>
      <w:lvlText w:val="%1.%2."/>
      <w:lvlJc w:val="left"/>
      <w:pPr>
        <w:tabs>
          <w:tab w:val="left" w:pos="1287"/>
        </w:tabs>
        <w:ind w:left="128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58D7E4E5"/>
    <w:multiLevelType w:val="singleLevel"/>
    <w:tmpl w:val="58D7E4E5"/>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502"/>
    <w:rsid w:val="003A1CD0"/>
    <w:rsid w:val="004046C5"/>
    <w:rsid w:val="005E5AC3"/>
    <w:rsid w:val="00660730"/>
    <w:rsid w:val="00926332"/>
    <w:rsid w:val="00B20502"/>
    <w:rsid w:val="014D6259"/>
    <w:rsid w:val="01792071"/>
    <w:rsid w:val="01DD049F"/>
    <w:rsid w:val="028A0B6C"/>
    <w:rsid w:val="038B44DE"/>
    <w:rsid w:val="03D4489F"/>
    <w:rsid w:val="03D82960"/>
    <w:rsid w:val="04090C51"/>
    <w:rsid w:val="04615B1C"/>
    <w:rsid w:val="04DF22FF"/>
    <w:rsid w:val="052E10CB"/>
    <w:rsid w:val="066D03E7"/>
    <w:rsid w:val="06F3047D"/>
    <w:rsid w:val="070D404A"/>
    <w:rsid w:val="072145E7"/>
    <w:rsid w:val="075730FC"/>
    <w:rsid w:val="095729B4"/>
    <w:rsid w:val="0BFA39B8"/>
    <w:rsid w:val="0C7C4F59"/>
    <w:rsid w:val="0D1B21A8"/>
    <w:rsid w:val="0EF953B1"/>
    <w:rsid w:val="0F375245"/>
    <w:rsid w:val="0F9C4CB8"/>
    <w:rsid w:val="0FDE207C"/>
    <w:rsid w:val="10706A87"/>
    <w:rsid w:val="10E06612"/>
    <w:rsid w:val="10F47C35"/>
    <w:rsid w:val="12727C04"/>
    <w:rsid w:val="130F2FA3"/>
    <w:rsid w:val="13171712"/>
    <w:rsid w:val="13847312"/>
    <w:rsid w:val="15564DD1"/>
    <w:rsid w:val="158551A2"/>
    <w:rsid w:val="16247D68"/>
    <w:rsid w:val="16674535"/>
    <w:rsid w:val="1B5D6B2E"/>
    <w:rsid w:val="1B8F5F98"/>
    <w:rsid w:val="1BE0320F"/>
    <w:rsid w:val="1D0B06A9"/>
    <w:rsid w:val="1E3E6048"/>
    <w:rsid w:val="1E8B0297"/>
    <w:rsid w:val="1ED87BF6"/>
    <w:rsid w:val="1FF3656C"/>
    <w:rsid w:val="203A567F"/>
    <w:rsid w:val="203F644E"/>
    <w:rsid w:val="21500CBF"/>
    <w:rsid w:val="21A23E20"/>
    <w:rsid w:val="21F77225"/>
    <w:rsid w:val="223D0FC2"/>
    <w:rsid w:val="229D0FDC"/>
    <w:rsid w:val="22DD6128"/>
    <w:rsid w:val="2337075B"/>
    <w:rsid w:val="24DD5801"/>
    <w:rsid w:val="25D51B61"/>
    <w:rsid w:val="269757C6"/>
    <w:rsid w:val="269A5A6A"/>
    <w:rsid w:val="271167D5"/>
    <w:rsid w:val="271D5C2E"/>
    <w:rsid w:val="27990D2E"/>
    <w:rsid w:val="29131CBA"/>
    <w:rsid w:val="29AC7E58"/>
    <w:rsid w:val="2A123098"/>
    <w:rsid w:val="2ABC538B"/>
    <w:rsid w:val="2B4A5643"/>
    <w:rsid w:val="2BC61663"/>
    <w:rsid w:val="2BF42D3E"/>
    <w:rsid w:val="2C8B1336"/>
    <w:rsid w:val="2CC46B39"/>
    <w:rsid w:val="2D1C1CB2"/>
    <w:rsid w:val="2D2F3C1F"/>
    <w:rsid w:val="2EFC6EDF"/>
    <w:rsid w:val="2F1D17C9"/>
    <w:rsid w:val="2FB872E0"/>
    <w:rsid w:val="3025322E"/>
    <w:rsid w:val="307557D0"/>
    <w:rsid w:val="30CA01E7"/>
    <w:rsid w:val="30D17E9B"/>
    <w:rsid w:val="310F139E"/>
    <w:rsid w:val="31671F60"/>
    <w:rsid w:val="31E4367E"/>
    <w:rsid w:val="332C7A6F"/>
    <w:rsid w:val="34870267"/>
    <w:rsid w:val="357954AD"/>
    <w:rsid w:val="36966C95"/>
    <w:rsid w:val="36CD2022"/>
    <w:rsid w:val="36FF32DA"/>
    <w:rsid w:val="378E0C44"/>
    <w:rsid w:val="3A120F4C"/>
    <w:rsid w:val="3A9B6EE2"/>
    <w:rsid w:val="3AA60320"/>
    <w:rsid w:val="3BB410AF"/>
    <w:rsid w:val="3C000C64"/>
    <w:rsid w:val="3C992818"/>
    <w:rsid w:val="3F111D89"/>
    <w:rsid w:val="3FF77348"/>
    <w:rsid w:val="41634FC4"/>
    <w:rsid w:val="41E61C30"/>
    <w:rsid w:val="41F45D5A"/>
    <w:rsid w:val="41FF7B0B"/>
    <w:rsid w:val="42405795"/>
    <w:rsid w:val="42A37E03"/>
    <w:rsid w:val="43A11AC5"/>
    <w:rsid w:val="466B320B"/>
    <w:rsid w:val="46C7659B"/>
    <w:rsid w:val="4A2A74A4"/>
    <w:rsid w:val="4AB17511"/>
    <w:rsid w:val="4C630568"/>
    <w:rsid w:val="4CA05A6F"/>
    <w:rsid w:val="4CA4280E"/>
    <w:rsid w:val="4CE41FB9"/>
    <w:rsid w:val="4D546CD9"/>
    <w:rsid w:val="4EC0742A"/>
    <w:rsid w:val="4F055C31"/>
    <w:rsid w:val="4F7C683A"/>
    <w:rsid w:val="4F840847"/>
    <w:rsid w:val="4FEC011A"/>
    <w:rsid w:val="4FF54CB0"/>
    <w:rsid w:val="53E344BD"/>
    <w:rsid w:val="545D476C"/>
    <w:rsid w:val="5617372F"/>
    <w:rsid w:val="56D05782"/>
    <w:rsid w:val="577A44CD"/>
    <w:rsid w:val="57A93C8F"/>
    <w:rsid w:val="5A4F758F"/>
    <w:rsid w:val="5AE1143B"/>
    <w:rsid w:val="5B6E298F"/>
    <w:rsid w:val="5C2F7FCA"/>
    <w:rsid w:val="5C8009C4"/>
    <w:rsid w:val="5C814B4D"/>
    <w:rsid w:val="5CA96615"/>
    <w:rsid w:val="5CB30492"/>
    <w:rsid w:val="5CDB7F37"/>
    <w:rsid w:val="5D402948"/>
    <w:rsid w:val="5D667FD9"/>
    <w:rsid w:val="5E4A5FE9"/>
    <w:rsid w:val="5EF3722C"/>
    <w:rsid w:val="5EFB74CA"/>
    <w:rsid w:val="5FE455AF"/>
    <w:rsid w:val="620249AF"/>
    <w:rsid w:val="638A44A2"/>
    <w:rsid w:val="64352031"/>
    <w:rsid w:val="64867FF6"/>
    <w:rsid w:val="64A66980"/>
    <w:rsid w:val="64AE1629"/>
    <w:rsid w:val="64EF27E0"/>
    <w:rsid w:val="65505398"/>
    <w:rsid w:val="658519F5"/>
    <w:rsid w:val="65E31215"/>
    <w:rsid w:val="661F57B0"/>
    <w:rsid w:val="66CA0813"/>
    <w:rsid w:val="6798304E"/>
    <w:rsid w:val="67DF59DB"/>
    <w:rsid w:val="69634304"/>
    <w:rsid w:val="698926D3"/>
    <w:rsid w:val="6A3F2BDB"/>
    <w:rsid w:val="6AEC489D"/>
    <w:rsid w:val="6AF51467"/>
    <w:rsid w:val="6BE73E8D"/>
    <w:rsid w:val="6CC631F0"/>
    <w:rsid w:val="6D396914"/>
    <w:rsid w:val="6D6E2F75"/>
    <w:rsid w:val="6DD04988"/>
    <w:rsid w:val="6EC91C96"/>
    <w:rsid w:val="6ED633C6"/>
    <w:rsid w:val="6ED751BF"/>
    <w:rsid w:val="6F327FF2"/>
    <w:rsid w:val="6F651260"/>
    <w:rsid w:val="6FA734FB"/>
    <w:rsid w:val="6FF71068"/>
    <w:rsid w:val="70141D30"/>
    <w:rsid w:val="707B0925"/>
    <w:rsid w:val="720F0C7A"/>
    <w:rsid w:val="722B6C69"/>
    <w:rsid w:val="725A4D65"/>
    <w:rsid w:val="72C370FD"/>
    <w:rsid w:val="72DF527B"/>
    <w:rsid w:val="72FB36C1"/>
    <w:rsid w:val="73521898"/>
    <w:rsid w:val="735E2218"/>
    <w:rsid w:val="738C6C57"/>
    <w:rsid w:val="73E62437"/>
    <w:rsid w:val="74F1139E"/>
    <w:rsid w:val="74FE5CB8"/>
    <w:rsid w:val="770740CE"/>
    <w:rsid w:val="77397A72"/>
    <w:rsid w:val="77414307"/>
    <w:rsid w:val="77771698"/>
    <w:rsid w:val="79083F68"/>
    <w:rsid w:val="794A63FC"/>
    <w:rsid w:val="799E2E72"/>
    <w:rsid w:val="79AF60C1"/>
    <w:rsid w:val="7A0D24A8"/>
    <w:rsid w:val="7AA55C14"/>
    <w:rsid w:val="7B8E2CAD"/>
    <w:rsid w:val="7D1816D7"/>
    <w:rsid w:val="7D8D216C"/>
    <w:rsid w:val="7E470AA8"/>
    <w:rsid w:val="7F080658"/>
    <w:rsid w:val="7F442D49"/>
    <w:rsid w:val="7F8950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numPr>
        <w:ilvl w:val="1"/>
        <w:numId w:val="1"/>
      </w:numPr>
      <w:adjustRightInd w:val="0"/>
      <w:spacing w:before="120" w:after="120" w:line="480" w:lineRule="exact"/>
      <w:jc w:val="left"/>
      <w:textAlignment w:val="baseline"/>
      <w:outlineLvl w:val="1"/>
    </w:pPr>
    <w:rPr>
      <w:b/>
      <w:kern w:val="0"/>
      <w:sz w:val="32"/>
      <w:szCs w:val="20"/>
    </w:rPr>
  </w:style>
  <w:style w:type="paragraph" w:styleId="4">
    <w:name w:val="heading 3"/>
    <w:basedOn w:val="1"/>
    <w:next w:val="1"/>
    <w:unhideWhenUsed/>
    <w:qFormat/>
    <w:uiPriority w:val="9"/>
    <w:pPr>
      <w:keepNext/>
      <w:keepLines/>
      <w:spacing w:before="260" w:after="260" w:line="416" w:lineRule="auto"/>
      <w:outlineLvl w:val="2"/>
    </w:pPr>
    <w:rPr>
      <w:b/>
      <w:bCs/>
      <w:sz w:val="28"/>
      <w:szCs w:val="32"/>
    </w:rPr>
  </w:style>
  <w:style w:type="character" w:default="1" w:styleId="14">
    <w:name w:val="Default Paragraph Font"/>
    <w:link w:val="15"/>
    <w:unhideWhenUsed/>
    <w:qFormat/>
    <w:uiPriority w:val="1"/>
    <w:rPr>
      <w:rFonts w:eastAsia="仿宋_GB2312"/>
      <w:color w:val="000000"/>
      <w:sz w:val="24"/>
    </w:rPr>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5">
    <w:name w:val="annotation text"/>
    <w:basedOn w:val="1"/>
    <w:unhideWhenUsed/>
    <w:qFormat/>
    <w:uiPriority w:val="99"/>
    <w:pPr>
      <w:jc w:val="left"/>
    </w:pPr>
  </w:style>
  <w:style w:type="paragraph" w:styleId="6">
    <w:name w:val="Body Text Indent"/>
    <w:basedOn w:val="1"/>
    <w:unhideWhenUsed/>
    <w:qFormat/>
    <w:uiPriority w:val="99"/>
    <w:pPr>
      <w:spacing w:after="120"/>
      <w:ind w:left="420" w:leftChars="200"/>
    </w:pPr>
  </w:style>
  <w:style w:type="paragraph" w:styleId="7">
    <w:name w:val="Block Text"/>
    <w:basedOn w:val="1"/>
    <w:unhideWhenUsed/>
    <w:qFormat/>
    <w:uiPriority w:val="99"/>
    <w:pPr>
      <w:autoSpaceDE w:val="0"/>
      <w:autoSpaceDN w:val="0"/>
      <w:adjustRightInd w:val="0"/>
      <w:spacing w:before="1" w:beforeLines="0" w:line="537" w:lineRule="exact"/>
      <w:ind w:left="88" w:right="6"/>
    </w:pPr>
    <w:rPr>
      <w:kern w:val="0"/>
      <w:sz w:val="28"/>
      <w:szCs w:val="28"/>
    </w:rPr>
  </w:style>
  <w:style w:type="paragraph" w:styleId="8">
    <w:name w:val="toc 3"/>
    <w:basedOn w:val="1"/>
    <w:next w:val="1"/>
    <w:unhideWhenUsed/>
    <w:qFormat/>
    <w:uiPriority w:val="39"/>
    <w:pPr>
      <w:ind w:left="840" w:leftChars="400"/>
    </w:pPr>
  </w:style>
  <w:style w:type="paragraph" w:styleId="9">
    <w:name w:val="Body Text Indent 2"/>
    <w:basedOn w:val="1"/>
    <w:unhideWhenUsed/>
    <w:qFormat/>
    <w:uiPriority w:val="99"/>
    <w:pPr>
      <w:spacing w:line="500" w:lineRule="exact"/>
      <w:ind w:firstLine="573"/>
    </w:pPr>
    <w:rPr>
      <w:sz w:val="28"/>
    </w:rPr>
  </w:style>
  <w:style w:type="paragraph" w:styleId="10">
    <w:name w:val="footer"/>
    <w:basedOn w:val="1"/>
    <w:unhideWhenUsed/>
    <w:qFormat/>
    <w:uiPriority w:val="99"/>
    <w:pPr>
      <w:tabs>
        <w:tab w:val="center" w:pos="4153"/>
        <w:tab w:val="right" w:pos="8306"/>
      </w:tabs>
      <w:snapToGrid w:val="0"/>
      <w:jc w:val="left"/>
    </w:pPr>
    <w:rPr>
      <w:sz w:val="18"/>
    </w:rPr>
  </w:style>
  <w:style w:type="paragraph" w:styleId="11">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customStyle="1" w:styleId="15">
    <w:name w:val=" Char"/>
    <w:basedOn w:val="1"/>
    <w:link w:val="14"/>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character" w:styleId="16">
    <w:name w:val="FollowedHyperlink"/>
    <w:basedOn w:val="14"/>
    <w:unhideWhenUsed/>
    <w:qFormat/>
    <w:uiPriority w:val="99"/>
    <w:rPr>
      <w:color w:val="000000"/>
      <w:u w:val="none"/>
    </w:rPr>
  </w:style>
  <w:style w:type="character" w:styleId="17">
    <w:name w:val="Hyperlink"/>
    <w:basedOn w:val="14"/>
    <w:unhideWhenUsed/>
    <w:qFormat/>
    <w:uiPriority w:val="99"/>
    <w:rPr>
      <w:color w:val="000000"/>
      <w:u w:val="none"/>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bds_more"/>
    <w:basedOn w:val="14"/>
    <w:qFormat/>
    <w:uiPriority w:val="0"/>
  </w:style>
  <w:style w:type="character" w:customStyle="1" w:styleId="21">
    <w:name w:val="bds_more1"/>
    <w:basedOn w:val="14"/>
    <w:qFormat/>
    <w:uiPriority w:val="0"/>
    <w:rPr>
      <w:rFonts w:hint="eastAsia" w:ascii="宋体" w:hAnsi="宋体" w:eastAsia="宋体" w:cs="宋体"/>
    </w:rPr>
  </w:style>
  <w:style w:type="character" w:customStyle="1" w:styleId="22">
    <w:name w:val="bds_more2"/>
    <w:basedOn w:val="14"/>
    <w:qFormat/>
    <w:uiPriority w:val="0"/>
  </w:style>
  <w:style w:type="character" w:customStyle="1" w:styleId="23">
    <w:name w:val="bds_nopic"/>
    <w:basedOn w:val="14"/>
    <w:qFormat/>
    <w:uiPriority w:val="0"/>
  </w:style>
  <w:style w:type="character" w:customStyle="1" w:styleId="24">
    <w:name w:val="bds_nopic1"/>
    <w:basedOn w:val="14"/>
    <w:qFormat/>
    <w:uiPriority w:val="0"/>
  </w:style>
  <w:style w:type="character" w:customStyle="1" w:styleId="25">
    <w:name w:val="bds_nopic2"/>
    <w:basedOn w:val="14"/>
    <w:qFormat/>
    <w:uiPriority w:val="0"/>
  </w:style>
  <w:style w:type="character" w:customStyle="1" w:styleId="26">
    <w:name w:val="title"/>
    <w:basedOn w:val="14"/>
    <w:qFormat/>
    <w:uiPriority w:val="0"/>
  </w:style>
  <w:style w:type="paragraph" w:customStyle="1" w:styleId="27">
    <w:name w:val="样式 四号 行距: 1.5 倍行距"/>
    <w:basedOn w:val="1"/>
    <w:qFormat/>
    <w:uiPriority w:val="0"/>
    <w:pPr>
      <w:spacing w:line="360" w:lineRule="auto"/>
      <w:ind w:firstLine="560" w:firstLineChars="200"/>
    </w:pPr>
    <w:rPr>
      <w:rFonts w:cs="宋体"/>
      <w:sz w:val="28"/>
      <w:szCs w:val="20"/>
    </w:rPr>
  </w:style>
  <w:style w:type="paragraph" w:customStyle="1" w:styleId="28">
    <w:name w:val="样式1"/>
    <w:basedOn w:val="1"/>
    <w:qFormat/>
    <w:uiPriority w:val="0"/>
    <w:pPr>
      <w:spacing w:line="280" w:lineRule="exact"/>
    </w:pPr>
    <w:rPr>
      <w:rFonts w:ascii="宋体" w:hAnsi="宋体"/>
    </w:rPr>
  </w:style>
  <w:style w:type="paragraph" w:customStyle="1" w:styleId="29">
    <w:name w:val="表文字"/>
    <w:basedOn w:val="1"/>
    <w:qFormat/>
    <w:uiPriority w:val="0"/>
    <w:pPr>
      <w:topLinePunct/>
      <w:adjustRightInd w:val="0"/>
      <w:spacing w:line="240" w:lineRule="exact"/>
      <w:textAlignment w:val="baseline"/>
    </w:pPr>
    <w:rPr>
      <w:rFonts w:eastAsia="汉鼎简书宋"/>
      <w:szCs w:val="21"/>
    </w:rPr>
  </w:style>
  <w:style w:type="paragraph" w:customStyle="1" w:styleId="30">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31">
    <w:name w:val="样式2"/>
    <w:basedOn w:val="1"/>
    <w:qFormat/>
    <w:uiPriority w:val="0"/>
    <w:pPr>
      <w:spacing w:line="360" w:lineRule="auto"/>
      <w:ind w:firstLine="480" w:firstLineChars="200"/>
    </w:pPr>
    <w:rPr>
      <w:rFonts w:ascii="宋体" w:hAnsi="宋体"/>
      <w:sz w:val="24"/>
    </w:rPr>
  </w:style>
  <w:style w:type="paragraph" w:customStyle="1" w:styleId="32">
    <w:name w:val="xl25"/>
    <w:basedOn w:val="1"/>
    <w:qFormat/>
    <w:uiPriority w:val="0"/>
    <w:pPr>
      <w:widowControl/>
      <w:spacing w:before="100" w:beforeLines="0" w:beforeAutospacing="1" w:after="100" w:afterLines="0" w:afterAutospacing="1"/>
      <w:jc w:val="center"/>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31</Pages>
  <Words>8462</Words>
  <Characters>9068</Characters>
  <Lines>1</Lines>
  <Paragraphs>1</Paragraphs>
  <TotalTime>1</TotalTime>
  <ScaleCrop>false</ScaleCrop>
  <LinksUpToDate>false</LinksUpToDate>
  <CharactersWithSpaces>9498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2015-12-15T04:46:00Z</dcterms:created>
  <dc:creator>User</dc:creator>
  <cp:lastModifiedBy>Administrator</cp:lastModifiedBy>
  <dcterms:modified xsi:type="dcterms:W3CDTF">2018-05-22T02:27:03Z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