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074" w:hanging="1778" w:hangingChars="246"/>
        <w:jc w:val="both"/>
        <w:rPr>
          <w:rFonts w:hint="eastAsia" w:ascii="宋体" w:hAnsi="宋体" w:eastAsia="宋体" w:cs="宋体"/>
          <w:b/>
          <w:sz w:val="72"/>
          <w:szCs w:val="72"/>
        </w:rPr>
      </w:pPr>
    </w:p>
    <w:p>
      <w:pPr>
        <w:ind w:left="2074" w:hanging="1623" w:hangingChars="246"/>
        <w:jc w:val="center"/>
        <w:rPr>
          <w:rFonts w:hint="eastAsia" w:ascii="宋体" w:hAnsi="宋体" w:eastAsia="宋体" w:cs="宋体"/>
          <w:b w:val="0"/>
          <w:bCs/>
          <w:sz w:val="66"/>
          <w:szCs w:val="66"/>
        </w:rPr>
      </w:pPr>
      <w:r>
        <w:rPr>
          <w:rFonts w:hint="eastAsia" w:ascii="宋体" w:hAnsi="宋体" w:eastAsia="宋体" w:cs="宋体"/>
          <w:b w:val="0"/>
          <w:bCs/>
          <w:sz w:val="66"/>
          <w:szCs w:val="66"/>
        </w:rPr>
        <w:t>建设项目竣工环境保护验收</w:t>
      </w:r>
    </w:p>
    <w:p>
      <w:pPr>
        <w:ind w:left="2074" w:hanging="1623" w:hangingChars="246"/>
        <w:jc w:val="center"/>
        <w:rPr>
          <w:rFonts w:hint="eastAsia" w:ascii="宋体" w:hAnsi="宋体" w:eastAsia="宋体" w:cs="宋体"/>
          <w:b w:val="0"/>
          <w:bCs/>
          <w:sz w:val="66"/>
          <w:szCs w:val="66"/>
        </w:rPr>
      </w:pPr>
      <w:r>
        <w:rPr>
          <w:rFonts w:hint="eastAsia" w:ascii="宋体" w:hAnsi="宋体" w:eastAsia="宋体" w:cs="宋体"/>
          <w:b w:val="0"/>
          <w:bCs/>
          <w:sz w:val="66"/>
          <w:szCs w:val="66"/>
        </w:rPr>
        <w:t>检测报告</w:t>
      </w:r>
    </w:p>
    <w:p>
      <w:pPr>
        <w:ind w:firstLine="2512" w:firstLineChars="695"/>
        <w:rPr>
          <w:rFonts w:hint="eastAsia"/>
          <w:b w:val="0"/>
          <w:bCs/>
        </w:rPr>
      </w:pPr>
      <w:r>
        <w:rPr>
          <w:rFonts w:hint="eastAsia" w:ascii="宋体" w:hAnsi="宋体" w:eastAsia="宋体"/>
          <w:b/>
          <w:sz w:val="36"/>
          <w:szCs w:val="36"/>
          <w:lang w:val="en-US" w:eastAsia="zh-CN"/>
        </w:rPr>
        <w:t xml:space="preserve"> </w:t>
      </w:r>
      <w:r>
        <w:rPr>
          <w:rFonts w:hint="eastAsia" w:ascii="宋体" w:hAnsi="宋体" w:eastAsia="宋体"/>
          <w:b w:val="0"/>
          <w:bCs/>
          <w:sz w:val="36"/>
          <w:szCs w:val="36"/>
        </w:rPr>
        <w:t>HXJC[201</w:t>
      </w:r>
      <w:r>
        <w:rPr>
          <w:rFonts w:hint="eastAsia" w:ascii="宋体" w:hAnsi="宋体" w:eastAsia="宋体"/>
          <w:b w:val="0"/>
          <w:bCs/>
          <w:sz w:val="36"/>
          <w:szCs w:val="36"/>
          <w:lang w:val="en-US" w:eastAsia="zh-CN"/>
        </w:rPr>
        <w:t>8</w:t>
      </w:r>
      <w:r>
        <w:rPr>
          <w:rFonts w:hint="eastAsia" w:ascii="宋体" w:hAnsi="宋体" w:eastAsia="宋体"/>
          <w:b w:val="0"/>
          <w:bCs/>
          <w:sz w:val="36"/>
          <w:szCs w:val="36"/>
        </w:rPr>
        <w:t>]</w:t>
      </w:r>
      <w:r>
        <w:rPr>
          <w:rFonts w:hint="eastAsia" w:ascii="宋体" w:hAnsi="宋体" w:eastAsia="宋体"/>
          <w:b w:val="0"/>
          <w:bCs/>
          <w:sz w:val="36"/>
          <w:szCs w:val="36"/>
          <w:lang w:eastAsia="zh-CN"/>
        </w:rPr>
        <w:t>第</w:t>
      </w:r>
      <w:r>
        <w:rPr>
          <w:rFonts w:hint="eastAsia" w:ascii="宋体" w:hAnsi="宋体" w:eastAsia="宋体"/>
          <w:b w:val="0"/>
          <w:bCs/>
          <w:sz w:val="36"/>
          <w:szCs w:val="36"/>
          <w:lang w:val="en-US" w:eastAsia="zh-CN"/>
        </w:rPr>
        <w:t>273</w:t>
      </w:r>
      <w:r>
        <w:rPr>
          <w:rFonts w:hint="eastAsia" w:ascii="宋体" w:hAnsi="宋体" w:eastAsia="宋体"/>
          <w:b w:val="0"/>
          <w:bCs/>
          <w:sz w:val="36"/>
          <w:szCs w:val="36"/>
          <w:lang w:eastAsia="zh-CN"/>
        </w:rPr>
        <w:t>号</w:t>
      </w:r>
    </w:p>
    <w:p>
      <w:pPr>
        <w:jc w:val="distribute"/>
        <w:rPr>
          <w:rFonts w:hint="eastAsia"/>
        </w:rPr>
      </w:pPr>
      <w:r>
        <w:rPr>
          <w:rFonts w:hint="default" w:ascii="Times New Roman" w:hAnsi="Times New Roman" w:cs="Times New Roman"/>
          <w:sz w:val="32"/>
        </w:rPr>
        <w:drawing>
          <wp:anchor distT="0" distB="0" distL="114300" distR="114300" simplePos="0" relativeHeight="2289250304" behindDoc="1" locked="0" layoutInCell="1" allowOverlap="1">
            <wp:simplePos x="0" y="0"/>
            <wp:positionH relativeFrom="margin">
              <wp:posOffset>2018030</wp:posOffset>
            </wp:positionH>
            <wp:positionV relativeFrom="margin">
              <wp:posOffset>2849245</wp:posOffset>
            </wp:positionV>
            <wp:extent cx="1477010" cy="1279525"/>
            <wp:effectExtent l="0" t="0" r="8890" b="15875"/>
            <wp:wrapNone/>
            <wp:docPr id="25" name="WordPictureWatermark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PictureWatermark3" descr="图片2"/>
                    <pic:cNvPicPr>
                      <a:picLocks noChangeAspect="1"/>
                    </pic:cNvPicPr>
                  </pic:nvPicPr>
                  <pic:blipFill>
                    <a:blip r:embed="rId10"/>
                    <a:stretch>
                      <a:fillRect/>
                    </a:stretch>
                  </pic:blipFill>
                  <pic:spPr>
                    <a:xfrm>
                      <a:off x="0" y="0"/>
                      <a:ext cx="1477010" cy="1279525"/>
                    </a:xfrm>
                    <a:prstGeom prst="rect">
                      <a:avLst/>
                    </a:prstGeom>
                    <a:noFill/>
                    <a:ln w="9525">
                      <a:noFill/>
                    </a:ln>
                  </pic:spPr>
                </pic:pic>
              </a:graphicData>
            </a:graphic>
          </wp:anchor>
        </w:drawing>
      </w:r>
    </w:p>
    <w:p>
      <w:pPr>
        <w:rPr>
          <w:rFonts w:hint="eastAsia"/>
        </w:rPr>
      </w:pPr>
    </w:p>
    <w:p>
      <w:pPr>
        <w:spacing w:line="700" w:lineRule="exact"/>
        <w:ind w:left="2555" w:leftChars="296" w:hanging="1608" w:hangingChars="445"/>
        <w:outlineLvl w:val="0"/>
        <w:rPr>
          <w:rFonts w:hint="eastAsia" w:ascii="宋体" w:hAnsi="宋体" w:eastAsia="宋体"/>
          <w:b/>
          <w:sz w:val="36"/>
          <w:szCs w:val="36"/>
        </w:rPr>
      </w:pPr>
    </w:p>
    <w:p>
      <w:pPr>
        <w:keepNext w:val="0"/>
        <w:keepLines w:val="0"/>
        <w:pageBreakBefore w:val="0"/>
        <w:widowControl w:val="0"/>
        <w:tabs>
          <w:tab w:val="left" w:pos="360"/>
          <w:tab w:val="right" w:pos="720"/>
          <w:tab w:val="left" w:pos="1800"/>
          <w:tab w:val="left" w:pos="2160"/>
          <w:tab w:val="left" w:pos="7380"/>
          <w:tab w:val="left" w:pos="7560"/>
        </w:tabs>
        <w:kinsoku/>
        <w:wordWrap/>
        <w:overflowPunct/>
        <w:topLinePunct w:val="0"/>
        <w:autoSpaceDE/>
        <w:autoSpaceDN/>
        <w:bidi w:val="0"/>
        <w:spacing w:line="560" w:lineRule="exact"/>
        <w:ind w:left="0" w:leftChars="0"/>
        <w:jc w:val="both"/>
        <w:textAlignment w:val="auto"/>
        <w:outlineLvl w:val="0"/>
        <w:rPr>
          <w:rFonts w:hint="eastAsia" w:ascii="宋体" w:hAnsi="宋体" w:eastAsia="宋体"/>
          <w:b/>
          <w:spacing w:val="19"/>
          <w:kern w:val="0"/>
          <w:sz w:val="36"/>
          <w:szCs w:val="36"/>
          <w:lang w:val="en-US" w:eastAsia="zh-CN"/>
        </w:rPr>
      </w:pPr>
      <w:r>
        <w:rPr>
          <w:rFonts w:hint="eastAsia" w:ascii="宋体" w:hAnsi="宋体" w:eastAsia="宋体"/>
          <w:b/>
          <w:spacing w:val="19"/>
          <w:kern w:val="0"/>
          <w:sz w:val="36"/>
          <w:szCs w:val="36"/>
          <w:lang w:val="en-US" w:eastAsia="zh-CN"/>
        </w:rPr>
        <w:t xml:space="preserve">  </w:t>
      </w:r>
      <w:bookmarkStart w:id="0" w:name="_Toc13912"/>
      <w:bookmarkStart w:id="1" w:name="_Toc13640"/>
      <w:bookmarkStart w:id="2" w:name="_Toc8972"/>
      <w:bookmarkStart w:id="3" w:name="_Toc20797"/>
      <w:bookmarkStart w:id="4" w:name="_Toc29346"/>
      <w:bookmarkStart w:id="5" w:name="_Toc26017"/>
      <w:bookmarkStart w:id="6" w:name="_Toc3367"/>
      <w:bookmarkStart w:id="7" w:name="_Toc5974"/>
    </w:p>
    <w:p>
      <w:pPr>
        <w:keepNext w:val="0"/>
        <w:keepLines w:val="0"/>
        <w:pageBreakBefore w:val="0"/>
        <w:widowControl w:val="0"/>
        <w:tabs>
          <w:tab w:val="left" w:pos="360"/>
          <w:tab w:val="right" w:pos="720"/>
          <w:tab w:val="left" w:pos="1800"/>
          <w:tab w:val="left" w:pos="2160"/>
          <w:tab w:val="left" w:pos="7380"/>
          <w:tab w:val="left" w:pos="7560"/>
        </w:tabs>
        <w:kinsoku/>
        <w:wordWrap/>
        <w:overflowPunct/>
        <w:topLinePunct w:val="0"/>
        <w:autoSpaceDE/>
        <w:autoSpaceDN/>
        <w:bidi w:val="0"/>
        <w:spacing w:line="560" w:lineRule="exact"/>
        <w:ind w:left="0" w:leftChars="0"/>
        <w:jc w:val="both"/>
        <w:textAlignment w:val="auto"/>
        <w:outlineLvl w:val="0"/>
        <w:rPr>
          <w:rFonts w:hint="eastAsia" w:ascii="宋体" w:hAnsi="宋体" w:eastAsia="宋体"/>
          <w:b/>
          <w:spacing w:val="19"/>
          <w:kern w:val="0"/>
          <w:sz w:val="36"/>
          <w:szCs w:val="36"/>
          <w:lang w:val="en-US" w:eastAsia="zh-CN"/>
        </w:rPr>
      </w:pPr>
      <w:r>
        <w:rPr>
          <w:rFonts w:hint="eastAsia" w:ascii="宋体" w:hAnsi="宋体" w:eastAsia="宋体"/>
          <w:b/>
          <w:spacing w:val="19"/>
          <w:kern w:val="0"/>
          <w:sz w:val="36"/>
          <w:szCs w:val="36"/>
          <w:lang w:val="en-US" w:eastAsia="zh-CN"/>
        </w:rPr>
        <w:t xml:space="preserve">  </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left"/>
        <w:textAlignment w:val="auto"/>
        <w:outlineLvl w:val="9"/>
        <w:rPr>
          <w:rFonts w:hint="eastAsia" w:asciiTheme="minorEastAsia" w:hAnsiTheme="minorEastAsia" w:eastAsiaTheme="minorEastAsia" w:cstheme="minorEastAsia"/>
          <w:b w:val="0"/>
          <w:bCs w:val="0"/>
          <w:kern w:val="0"/>
          <w:sz w:val="32"/>
          <w:szCs w:val="32"/>
          <w:u w:val="single"/>
          <w:lang w:val="en-US" w:eastAsia="zh-CN"/>
        </w:rPr>
      </w:pPr>
      <w:bookmarkStart w:id="8" w:name="_Toc4341"/>
      <w:r>
        <w:rPr>
          <w:rFonts w:hint="eastAsia" w:ascii="宋体" w:hAnsi="宋体" w:eastAsia="宋体"/>
          <w:b/>
          <w:spacing w:val="0"/>
          <w:kern w:val="0"/>
          <w:sz w:val="32"/>
          <w:szCs w:val="32"/>
        </w:rPr>
        <w:t>项目名称</w:t>
      </w:r>
      <w:bookmarkEnd w:id="0"/>
      <w:bookmarkEnd w:id="1"/>
      <w:bookmarkEnd w:id="2"/>
      <w:bookmarkEnd w:id="3"/>
      <w:bookmarkStart w:id="9" w:name="_Toc14676"/>
      <w:bookmarkStart w:id="10" w:name="_Toc8884"/>
      <w:bookmarkStart w:id="11" w:name="_Toc9464"/>
      <w:bookmarkStart w:id="12" w:name="_Toc2783"/>
      <w:bookmarkStart w:id="13" w:name="OLE_LINK1"/>
      <w:r>
        <w:rPr>
          <w:rFonts w:hint="eastAsia" w:ascii="宋体" w:hAnsi="宋体" w:eastAsia="宋体"/>
          <w:b/>
          <w:spacing w:val="0"/>
          <w:kern w:val="0"/>
          <w:sz w:val="32"/>
          <w:szCs w:val="32"/>
        </w:rPr>
        <w:t>：</w:t>
      </w:r>
      <w:bookmarkEnd w:id="4"/>
      <w:bookmarkEnd w:id="5"/>
      <w:bookmarkEnd w:id="6"/>
      <w:bookmarkEnd w:id="7"/>
      <w:bookmarkEnd w:id="8"/>
      <w:bookmarkEnd w:id="9"/>
      <w:bookmarkEnd w:id="10"/>
      <w:bookmarkEnd w:id="11"/>
      <w:bookmarkEnd w:id="12"/>
      <w:bookmarkEnd w:id="13"/>
      <w:r>
        <w:rPr>
          <w:rFonts w:hint="eastAsia" w:asciiTheme="minorEastAsia" w:hAnsiTheme="minorEastAsia" w:eastAsiaTheme="minorEastAsia" w:cstheme="minorEastAsia"/>
          <w:b w:val="0"/>
          <w:bCs w:val="0"/>
          <w:kern w:val="0"/>
          <w:sz w:val="32"/>
          <w:szCs w:val="32"/>
          <w:u w:val="single"/>
          <w:lang w:val="en-US" w:eastAsia="zh-CN"/>
        </w:rPr>
        <w:t>中国石化销售有限公司贵州黔西南贞丰城关加油站</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1600" w:firstLineChars="500"/>
        <w:jc w:val="left"/>
        <w:textAlignment w:val="auto"/>
        <w:outlineLvl w:val="9"/>
        <w:rPr>
          <w:rFonts w:hint="eastAsia" w:asciiTheme="minorEastAsia" w:hAnsiTheme="minorEastAsia" w:eastAsiaTheme="minorEastAsia" w:cstheme="minorEastAsia"/>
          <w:b w:val="0"/>
          <w:bCs w:val="0"/>
          <w:spacing w:val="-14"/>
          <w:kern w:val="0"/>
          <w:sz w:val="30"/>
          <w:szCs w:val="30"/>
          <w:u w:val="single"/>
          <w:lang w:val="en-US" w:eastAsia="zh-CN"/>
        </w:rPr>
      </w:pPr>
      <w:r>
        <w:rPr>
          <w:rFonts w:hint="eastAsia" w:asciiTheme="minorEastAsia" w:hAnsiTheme="minorEastAsia" w:eastAsiaTheme="minorEastAsia" w:cstheme="minorEastAsia"/>
          <w:b w:val="0"/>
          <w:bCs w:val="0"/>
          <w:kern w:val="0"/>
          <w:sz w:val="32"/>
          <w:szCs w:val="32"/>
          <w:u w:val="single"/>
          <w:lang w:val="en-US" w:eastAsia="zh-CN"/>
        </w:rPr>
        <w:t>建设项目竣工环境保护验收检测</w:t>
      </w:r>
      <w:r>
        <w:rPr>
          <w:rFonts w:hint="eastAsia" w:asciiTheme="minorEastAsia" w:hAnsiTheme="minorEastAsia" w:eastAsiaTheme="minorEastAsia" w:cstheme="minorEastAsia"/>
          <w:b w:val="0"/>
          <w:bCs w:val="0"/>
          <w:spacing w:val="-14"/>
          <w:kern w:val="0"/>
          <w:sz w:val="30"/>
          <w:szCs w:val="30"/>
          <w:u w:val="single"/>
          <w:lang w:val="en-US" w:eastAsia="zh-CN"/>
        </w:rPr>
        <w:t xml:space="preserve">                    </w:t>
      </w:r>
      <w:bookmarkStart w:id="14" w:name="_Toc24568"/>
      <w:bookmarkStart w:id="15" w:name="_Toc32752"/>
      <w:bookmarkStart w:id="16" w:name="_Toc7771"/>
      <w:bookmarkStart w:id="17" w:name="_Toc3002"/>
      <w:bookmarkStart w:id="18" w:name="_Toc28273"/>
      <w:bookmarkStart w:id="19" w:name="_Toc28058"/>
      <w:bookmarkStart w:id="20" w:name="_Toc29349"/>
      <w:bookmarkStart w:id="21" w:name="_Toc16121"/>
      <w:bookmarkStart w:id="22" w:name="_Toc22997"/>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left"/>
        <w:textAlignment w:val="auto"/>
        <w:outlineLvl w:val="9"/>
        <w:rPr>
          <w:rFonts w:hint="eastAsia" w:ascii="宋体" w:hAnsi="宋体" w:eastAsia="宋体"/>
          <w:b w:val="0"/>
          <w:bCs/>
          <w:spacing w:val="-20"/>
          <w:kern w:val="0"/>
          <w:sz w:val="32"/>
          <w:szCs w:val="32"/>
          <w:u w:val="single"/>
          <w:lang w:val="en-US" w:eastAsia="zh-CN"/>
        </w:rPr>
      </w:pPr>
      <w:r>
        <w:rPr>
          <w:rFonts w:hint="eastAsia" w:ascii="宋体" w:hAnsi="宋体" w:eastAsia="宋体"/>
          <w:b/>
          <w:spacing w:val="0"/>
          <w:kern w:val="0"/>
          <w:sz w:val="32"/>
          <w:szCs w:val="32"/>
        </w:rPr>
        <w:t>委托单位：</w:t>
      </w:r>
      <w:bookmarkEnd w:id="14"/>
      <w:bookmarkEnd w:id="15"/>
      <w:bookmarkEnd w:id="16"/>
      <w:bookmarkEnd w:id="17"/>
      <w:bookmarkEnd w:id="18"/>
      <w:bookmarkEnd w:id="19"/>
      <w:bookmarkEnd w:id="20"/>
      <w:bookmarkEnd w:id="21"/>
      <w:r>
        <w:rPr>
          <w:rFonts w:hint="eastAsia" w:ascii="宋体" w:hAnsi="宋体" w:eastAsia="宋体"/>
          <w:b/>
          <w:spacing w:val="0"/>
          <w:kern w:val="0"/>
          <w:sz w:val="32"/>
          <w:szCs w:val="32"/>
          <w:u w:val="single"/>
          <w:lang w:val="en-US" w:eastAsia="zh-CN"/>
        </w:rPr>
        <w:t xml:space="preserve">   </w:t>
      </w:r>
      <w:r>
        <w:rPr>
          <w:rFonts w:hint="eastAsia" w:ascii="宋体" w:hAnsi="宋体" w:eastAsia="宋体"/>
          <w:b w:val="0"/>
          <w:bCs/>
          <w:spacing w:val="-20"/>
          <w:kern w:val="0"/>
          <w:sz w:val="32"/>
          <w:szCs w:val="32"/>
          <w:u w:val="single"/>
          <w:lang w:val="en-US" w:eastAsia="zh-CN"/>
        </w:rPr>
        <w:t>中国石化销售有限公司贵州黔西南贞丰石油分公司</w:t>
      </w:r>
      <w:bookmarkEnd w:id="22"/>
      <w:r>
        <w:rPr>
          <w:rFonts w:hint="eastAsia" w:ascii="宋体" w:hAnsi="宋体" w:eastAsia="宋体"/>
          <w:b w:val="0"/>
          <w:bCs/>
          <w:spacing w:val="-20"/>
          <w:kern w:val="0"/>
          <w:sz w:val="32"/>
          <w:szCs w:val="32"/>
          <w:u w:val="single"/>
          <w:lang w:val="en-US" w:eastAsia="zh-CN"/>
        </w:rPr>
        <w:t xml:space="preserve">   </w:t>
      </w:r>
    </w:p>
    <w:p>
      <w:pPr>
        <w:pStyle w:val="2"/>
        <w:rPr>
          <w:rFonts w:hint="eastAsia"/>
        </w:rPr>
      </w:pPr>
    </w:p>
    <w:p>
      <w:pPr>
        <w:rPr>
          <w:rFonts w:hint="eastAsia" w:ascii="宋体" w:hAnsi="宋体" w:eastAsia="宋体"/>
          <w:b/>
          <w:snapToGrid w:val="0"/>
          <w:color w:val="FF0000"/>
          <w:kern w:val="10"/>
          <w:sz w:val="36"/>
          <w:szCs w:val="36"/>
        </w:rPr>
      </w:pPr>
    </w:p>
    <w:p>
      <w:pPr>
        <w:pStyle w:val="2"/>
        <w:rPr>
          <w:rFonts w:hint="eastAsia"/>
        </w:rPr>
      </w:pPr>
    </w:p>
    <w:p>
      <w:pPr>
        <w:jc w:val="center"/>
        <w:rPr>
          <w:rFonts w:hint="eastAsia" w:ascii="宋体" w:hAnsi="宋体" w:eastAsia="宋体"/>
          <w:b/>
          <w:snapToGrid w:val="0"/>
          <w:kern w:val="10"/>
          <w:sz w:val="36"/>
          <w:szCs w:val="36"/>
        </w:rPr>
      </w:pPr>
      <w:r>
        <w:rPr>
          <w:rFonts w:hint="eastAsia" w:ascii="宋体" w:hAnsi="宋体" w:eastAsia="宋体"/>
          <w:b/>
          <w:snapToGrid w:val="0"/>
          <w:kern w:val="10"/>
          <w:sz w:val="36"/>
          <w:szCs w:val="36"/>
        </w:rPr>
        <w:t>贵州省洪鑫环境检测服务有限公司</w:t>
      </w:r>
    </w:p>
    <w:p>
      <w:pPr>
        <w:pStyle w:val="2"/>
        <w:ind w:left="0" w:leftChars="0" w:firstLine="0" w:firstLineChars="0"/>
        <w:jc w:val="center"/>
        <w:rPr>
          <w:rFonts w:hint="default" w:ascii="Times New Roman" w:hAnsi="Times New Roman" w:eastAsia="宋体" w:cs="Times New Roman"/>
          <w:b/>
          <w:snapToGrid w:val="0"/>
          <w:kern w:val="10"/>
          <w:sz w:val="36"/>
          <w:szCs w:val="36"/>
        </w:rPr>
      </w:pPr>
      <w:r>
        <w:rPr>
          <w:rFonts w:hint="default" w:ascii="Times New Roman" w:hAnsi="Times New Roman" w:eastAsia="宋体" w:cs="Times New Roman"/>
          <w:b/>
          <w:snapToGrid w:val="0"/>
          <w:kern w:val="10"/>
          <w:sz w:val="36"/>
          <w:szCs w:val="36"/>
          <w:lang w:eastAsia="zh-CN"/>
        </w:rPr>
        <w:t>二〇一八年</w:t>
      </w:r>
      <w:r>
        <w:rPr>
          <w:rFonts w:hint="eastAsia" w:ascii="Times New Roman" w:hAnsi="Times New Roman" w:eastAsia="宋体" w:cs="Times New Roman"/>
          <w:b/>
          <w:snapToGrid w:val="0"/>
          <w:kern w:val="10"/>
          <w:sz w:val="36"/>
          <w:szCs w:val="36"/>
          <w:lang w:eastAsia="zh-CN"/>
        </w:rPr>
        <w:t>四</w:t>
      </w:r>
      <w:r>
        <w:rPr>
          <w:rFonts w:hint="default" w:ascii="Times New Roman" w:hAnsi="Times New Roman" w:eastAsia="宋体" w:cs="Times New Roman"/>
          <w:b/>
          <w:snapToGrid w:val="0"/>
          <w:kern w:val="10"/>
          <w:sz w:val="36"/>
          <w:szCs w:val="36"/>
          <w:lang w:eastAsia="zh-CN"/>
        </w:rPr>
        <w:t>月</w:t>
      </w:r>
    </w:p>
    <w:p>
      <w:pPr>
        <w:pStyle w:val="2"/>
        <w:rPr>
          <w:rFonts w:hint="default" w:ascii="Times New Roman" w:hAnsi="Times New Roman" w:eastAsia="宋体" w:cs="Times New Roman"/>
          <w:b/>
          <w:snapToGrid w:val="0"/>
          <w:kern w:val="10"/>
          <w:sz w:val="36"/>
          <w:szCs w:val="36"/>
        </w:rPr>
        <w:sectPr>
          <w:headerReference r:id="rId4" w:type="first"/>
          <w:headerReference r:id="rId3" w:type="even"/>
          <w:pgSz w:w="11906" w:h="16838"/>
          <w:pgMar w:top="1701" w:right="1132" w:bottom="1474" w:left="1814" w:header="851" w:footer="992" w:gutter="0"/>
          <w:pgNumType w:fmt="decimal"/>
          <w:cols w:space="720" w:num="1"/>
          <w:titlePg/>
          <w:docGrid w:type="lines" w:linePitch="440" w:charSpace="0"/>
        </w:sectPr>
      </w:pPr>
    </w:p>
    <w:p>
      <w:pPr>
        <w:tabs>
          <w:tab w:val="left" w:pos="2520"/>
          <w:tab w:val="left" w:pos="2880"/>
          <w:tab w:val="left" w:pos="3060"/>
        </w:tabs>
        <w:spacing w:line="520" w:lineRule="exact"/>
        <w:jc w:val="center"/>
        <w:rPr>
          <w:rFonts w:hint="default" w:ascii="Times New Roman" w:hAnsi="Times New Roman" w:eastAsia="宋体" w:cs="Times New Roman"/>
          <w:b/>
          <w:bCs/>
          <w:kern w:val="0"/>
          <w:sz w:val="44"/>
          <w:szCs w:val="44"/>
        </w:rPr>
      </w:pPr>
      <w:r>
        <w:rPr>
          <w:rFonts w:hint="default" w:ascii="Times New Roman" w:hAnsi="Times New Roman" w:eastAsia="宋体" w:cs="Times New Roman"/>
          <w:b/>
          <w:bCs/>
          <w:kern w:val="0"/>
          <w:sz w:val="44"/>
          <w:szCs w:val="44"/>
        </w:rPr>
        <w:t>说</w:t>
      </w:r>
      <w:r>
        <w:rPr>
          <w:rFonts w:hint="default" w:ascii="Times New Roman" w:hAnsi="Times New Roman" w:eastAsia="宋体" w:cs="Times New Roman"/>
          <w:b/>
          <w:bCs/>
          <w:kern w:val="0"/>
          <w:sz w:val="44"/>
          <w:szCs w:val="44"/>
          <w:lang w:val="en-US" w:eastAsia="zh-CN"/>
        </w:rPr>
        <w:t xml:space="preserve">   </w:t>
      </w:r>
      <w:r>
        <w:rPr>
          <w:rFonts w:hint="default" w:ascii="Times New Roman" w:hAnsi="Times New Roman" w:eastAsia="宋体" w:cs="Times New Roman"/>
          <w:b/>
          <w:bCs/>
          <w:kern w:val="0"/>
          <w:sz w:val="44"/>
          <w:szCs w:val="44"/>
        </w:rPr>
        <w:t>明</w:t>
      </w:r>
    </w:p>
    <w:p>
      <w:pPr>
        <w:tabs>
          <w:tab w:val="left" w:pos="2520"/>
          <w:tab w:val="left" w:pos="2880"/>
          <w:tab w:val="left" w:pos="3060"/>
        </w:tabs>
        <w:spacing w:line="520" w:lineRule="exact"/>
        <w:jc w:val="center"/>
        <w:rPr>
          <w:rFonts w:hint="default" w:ascii="Times New Roman" w:hAnsi="Times New Roman" w:cs="Times New Roman"/>
          <w:b/>
          <w:bCs/>
          <w:kern w:val="0"/>
          <w:sz w:val="44"/>
          <w:szCs w:val="44"/>
        </w:rPr>
      </w:pP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1、报告表未加盖检测专用章（骑缝章）、计量认证CMA章无效；</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2、报告表无编制人员、审核人员、签发人员签字无效；</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3、对于委托方送样检测的，仅对样品检测数据负责；</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4、未经本</w:t>
      </w:r>
      <w:r>
        <w:rPr>
          <w:rFonts w:hint="default" w:ascii="Times New Roman" w:hAnsi="Times New Roman" w:eastAsia="宋体" w:cs="Times New Roman"/>
          <w:sz w:val="30"/>
          <w:szCs w:val="30"/>
          <w:lang w:eastAsia="zh-CN"/>
        </w:rPr>
        <w:t>检测机构</w:t>
      </w:r>
      <w:r>
        <w:rPr>
          <w:rFonts w:hint="default" w:ascii="Times New Roman" w:hAnsi="Times New Roman" w:eastAsia="宋体" w:cs="Times New Roman"/>
          <w:sz w:val="30"/>
          <w:szCs w:val="30"/>
        </w:rPr>
        <w:t>批准，不得复制检测报告（完整复制除外）。  复制报告必须加盖检测专用章，否则无效；</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5、涂改、部分提供或部分复制检测报告表无效；</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6、如对报告表有疑问、异议，请于收到报告表之日起15日内可向本</w:t>
      </w:r>
      <w:r>
        <w:rPr>
          <w:rFonts w:hint="default" w:ascii="Times New Roman" w:hAnsi="Times New Roman" w:eastAsia="宋体" w:cs="Times New Roman"/>
          <w:sz w:val="30"/>
          <w:szCs w:val="30"/>
          <w:lang w:eastAsia="zh-CN"/>
        </w:rPr>
        <w:t>检测机构</w:t>
      </w:r>
      <w:r>
        <w:rPr>
          <w:rFonts w:hint="default" w:ascii="Times New Roman" w:hAnsi="Times New Roman" w:eastAsia="宋体" w:cs="Times New Roman"/>
          <w:sz w:val="30"/>
          <w:szCs w:val="30"/>
        </w:rPr>
        <w:t>提出书面申诉意见；15日内未提出异议者，即视为接受本检测报告。</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7、本报告表未经本</w:t>
      </w:r>
      <w:r>
        <w:rPr>
          <w:rFonts w:hint="default" w:ascii="Times New Roman" w:hAnsi="Times New Roman" w:eastAsia="宋体" w:cs="Times New Roman"/>
          <w:sz w:val="30"/>
          <w:szCs w:val="30"/>
          <w:lang w:eastAsia="zh-CN"/>
        </w:rPr>
        <w:t>检测机构</w:t>
      </w:r>
      <w:r>
        <w:rPr>
          <w:rFonts w:hint="default" w:ascii="Times New Roman" w:hAnsi="Times New Roman" w:eastAsia="宋体" w:cs="Times New Roman"/>
          <w:sz w:val="30"/>
          <w:szCs w:val="30"/>
        </w:rPr>
        <w:t>同意，不得做商业广告、宣传等使用。</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360" w:lineRule="auto"/>
        <w:rPr>
          <w:rFonts w:hint="default" w:ascii="Times New Roman" w:hAnsi="Times New Roman" w:eastAsia="宋体" w:cs="Times New Roman"/>
          <w:b/>
          <w:spacing w:val="-20"/>
          <w:kern w:val="0"/>
        </w:rPr>
        <w:sectPr>
          <w:headerReference r:id="rId5" w:type="default"/>
          <w:footerReference r:id="rId6" w:type="default"/>
          <w:pgSz w:w="11906" w:h="16838"/>
          <w:pgMar w:top="1440" w:right="1800" w:bottom="1440" w:left="1800" w:header="851" w:footer="992" w:gutter="0"/>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pacing w:val="-20"/>
          <w:kern w:val="0"/>
          <w:lang w:val="en-US" w:eastAsia="zh-CN"/>
        </w:rPr>
      </w:pPr>
      <w:r>
        <w:rPr>
          <w:rFonts w:hint="default" w:ascii="Times New Roman" w:hAnsi="Times New Roman" w:eastAsia="宋体" w:cs="Times New Roman"/>
          <w:b/>
          <w:spacing w:val="-20"/>
          <w:kern w:val="0"/>
        </w:rPr>
        <w:t xml:space="preserve">     项目名称：</w:t>
      </w:r>
      <w:r>
        <w:rPr>
          <w:rFonts w:hint="default" w:ascii="Times New Roman" w:hAnsi="Times New Roman" w:eastAsia="宋体" w:cs="Times New Roman"/>
          <w:b w:val="0"/>
          <w:bCs/>
          <w:spacing w:val="-20"/>
          <w:kern w:val="0"/>
          <w:lang w:val="en-US" w:eastAsia="zh-CN"/>
        </w:rPr>
        <w:t>中国石化销售有限公司贵州黔西南</w:t>
      </w:r>
      <w:r>
        <w:rPr>
          <w:rFonts w:hint="eastAsia" w:ascii="Times New Roman" w:hAnsi="Times New Roman" w:eastAsia="宋体" w:cs="Times New Roman"/>
          <w:b w:val="0"/>
          <w:bCs/>
          <w:spacing w:val="-20"/>
          <w:kern w:val="0"/>
          <w:lang w:val="en-US" w:eastAsia="zh-CN"/>
        </w:rPr>
        <w:t>贞丰城关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960" w:firstLineChars="700"/>
        <w:jc w:val="both"/>
        <w:textAlignment w:val="auto"/>
        <w:outlineLvl w:val="9"/>
        <w:rPr>
          <w:rFonts w:hint="default" w:ascii="Times New Roman" w:hAnsi="Times New Roman" w:eastAsia="宋体" w:cs="Times New Roman"/>
          <w:b/>
          <w:spacing w:val="-20"/>
          <w:kern w:val="0"/>
        </w:rPr>
      </w:pPr>
      <w:r>
        <w:rPr>
          <w:rFonts w:hint="default" w:ascii="Times New Roman" w:hAnsi="Times New Roman" w:eastAsia="宋体" w:cs="Times New Roman"/>
          <w:b w:val="0"/>
          <w:bCs/>
          <w:spacing w:val="-20"/>
          <w:kern w:val="0"/>
          <w:lang w:eastAsia="zh-CN"/>
        </w:rPr>
        <w:t>加油站建设项目</w:t>
      </w:r>
      <w:r>
        <w:rPr>
          <w:rFonts w:hint="default" w:ascii="Times New Roman" w:hAnsi="Times New Roman" w:eastAsia="宋体" w:cs="Times New Roman"/>
          <w:b w:val="0"/>
          <w:bCs/>
          <w:spacing w:val="-20"/>
          <w:kern w:val="0"/>
        </w:rPr>
        <w:t>竣工环境保护验收检测</w:t>
      </w:r>
      <w:r>
        <w:rPr>
          <w:rFonts w:hint="default" w:ascii="Times New Roman" w:hAnsi="Times New Roman" w:eastAsia="宋体" w:cs="Times New Roman"/>
          <w:b/>
          <w:spacing w:val="-20"/>
          <w:kern w:val="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napToGrid w:val="0"/>
          <w:kern w:val="0"/>
        </w:rPr>
      </w:pPr>
      <w:r>
        <w:rPr>
          <w:rFonts w:hint="default" w:ascii="Times New Roman" w:hAnsi="Times New Roman" w:eastAsia="宋体" w:cs="Times New Roman"/>
          <w:b/>
          <w:spacing w:val="-20"/>
          <w:kern w:val="0"/>
        </w:rPr>
        <w:t xml:space="preserve">     检测单位：</w:t>
      </w:r>
      <w:r>
        <w:rPr>
          <w:rFonts w:hint="default" w:ascii="Times New Roman" w:hAnsi="Times New Roman" w:eastAsia="宋体" w:cs="Times New Roman"/>
          <w:snapToGrid w:val="0"/>
          <w:kern w:val="0"/>
        </w:rPr>
        <w:t>贵州省洪鑫环境检测服务有限公司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snapToGrid w:val="0"/>
          <w:kern w:val="0"/>
          <w:lang w:eastAsia="zh-CN"/>
        </w:rPr>
      </w:pPr>
      <w:r>
        <w:rPr>
          <w:rFonts w:hint="default" w:ascii="Times New Roman" w:hAnsi="Times New Roman" w:eastAsia="宋体" w:cs="Times New Roman"/>
          <w:snapToGrid w:val="0"/>
          <w:kern w:val="0"/>
          <w:lang w:val="en-US" w:eastAsia="zh-CN"/>
        </w:rPr>
        <w:t xml:space="preserve">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lang w:eastAsia="zh-CN"/>
        </w:rPr>
        <w:t>法人代表：赵</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lang w:eastAsia="zh-CN"/>
        </w:rPr>
        <w:t>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技术负责：</w:t>
      </w:r>
      <w:r>
        <w:rPr>
          <w:rFonts w:hint="default" w:ascii="Times New Roman" w:hAnsi="Times New Roman" w:eastAsia="宋体" w:cs="Times New Roman"/>
          <w:b/>
          <w:snapToGrid w:val="0"/>
          <w:kern w:val="0"/>
          <w:lang w:eastAsia="zh-CN"/>
        </w:rPr>
        <w:t>王忠文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项目负责：</w:t>
      </w:r>
      <w:r>
        <w:rPr>
          <w:rFonts w:hint="eastAsia" w:ascii="Times New Roman" w:hAnsi="Times New Roman" w:eastAsia="宋体" w:cs="Times New Roman"/>
          <w:b/>
          <w:spacing w:val="-20"/>
          <w:kern w:val="0"/>
          <w:lang w:eastAsia="zh-CN"/>
        </w:rPr>
        <w:t>潘丹丹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报告编制：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 xml:space="preserve">校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 xml:space="preserve"> 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审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 xml:space="preserve">  核：</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签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 xml:space="preserve">   发：</w:t>
      </w:r>
    </w:p>
    <w:p>
      <w:pPr>
        <w:pStyle w:val="2"/>
        <w:rPr>
          <w:rFonts w:hint="default" w:ascii="Times New Roman" w:hAnsi="Times New Roman" w:eastAsia="宋体" w:cs="Times New Roman"/>
          <w:b/>
          <w:spacing w:val="-20"/>
          <w:kern w:val="0"/>
        </w:rPr>
      </w:pPr>
    </w:p>
    <w:p>
      <w:pPr>
        <w:pStyle w:val="2"/>
        <w:rPr>
          <w:rFonts w:hint="default" w:ascii="Times New Roman" w:hAnsi="Times New Roman" w:eastAsia="宋体" w:cs="Times New Roman"/>
          <w:b/>
          <w:snapToGrid/>
          <w:spacing w:val="-20"/>
          <w:kern w:val="0"/>
          <w:sz w:val="32"/>
          <w:szCs w:val="32"/>
          <w:lang w:val="en-US" w:eastAsia="zh-CN" w:bidi="ar-SA"/>
        </w:rPr>
      </w:pPr>
      <w:r>
        <w:rPr>
          <w:rFonts w:hint="default" w:ascii="Times New Roman" w:hAnsi="Times New Roman" w:eastAsia="宋体" w:cs="Times New Roman"/>
          <w:b/>
          <w:snapToGrid/>
          <w:spacing w:val="-20"/>
          <w:kern w:val="0"/>
          <w:sz w:val="32"/>
          <w:szCs w:val="32"/>
          <w:lang w:val="en-US" w:eastAsia="zh-CN" w:bidi="ar-SA"/>
        </w:rPr>
        <w:t>签发日期：</w:t>
      </w:r>
    </w:p>
    <w:p>
      <w:pPr>
        <w:keepNext w:val="0"/>
        <w:keepLines w:val="0"/>
        <w:pageBreakBefore w:val="0"/>
        <w:widowControl w:val="0"/>
        <w:tabs>
          <w:tab w:val="left" w:pos="3240"/>
        </w:tabs>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pacing w:val="-20"/>
          <w:kern w:val="0"/>
        </w:rPr>
      </w:pPr>
    </w:p>
    <w:p>
      <w:pPr>
        <w:ind w:left="2379" w:hanging="2379" w:hangingChars="846"/>
        <w:rPr>
          <w:rFonts w:hint="default" w:ascii="Times New Roman" w:hAnsi="Times New Roman" w:eastAsia="宋体" w:cs="Times New Roman"/>
          <w:b w:val="0"/>
          <w:bCs/>
          <w:spacing w:val="-20"/>
          <w:kern w:val="0"/>
        </w:rPr>
      </w:pPr>
      <w:r>
        <w:rPr>
          <w:rFonts w:hint="default" w:ascii="Times New Roman" w:hAnsi="Times New Roman" w:eastAsia="宋体" w:cs="Times New Roman"/>
          <w:b/>
          <w:spacing w:val="-20"/>
          <w:kern w:val="0"/>
        </w:rPr>
        <w:t xml:space="preserve">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 xml:space="preserve">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采样人员：</w:t>
      </w:r>
      <w:r>
        <w:rPr>
          <w:rFonts w:hint="eastAsia" w:ascii="Times New Roman" w:hAnsi="Times New Roman" w:eastAsia="宋体" w:cs="Times New Roman"/>
          <w:b w:val="0"/>
          <w:bCs/>
          <w:spacing w:val="-20"/>
          <w:kern w:val="0"/>
          <w:lang w:eastAsia="zh-CN"/>
        </w:rPr>
        <w:t>黄金朝、封礼斌、潘丹丹</w:t>
      </w:r>
    </w:p>
    <w:p>
      <w:pPr>
        <w:ind w:left="2379" w:hanging="2379" w:hangingChars="846"/>
        <w:rPr>
          <w:rFonts w:hint="default" w:ascii="Times New Roman" w:hAnsi="Times New Roman" w:eastAsia="宋体" w:cs="Times New Roman"/>
          <w:b w:val="0"/>
          <w:bCs/>
          <w:snapToGrid w:val="0"/>
          <w:kern w:val="0"/>
          <w:highlight w:val="none"/>
        </w:rPr>
      </w:pP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分析测定：</w:t>
      </w:r>
      <w:r>
        <w:rPr>
          <w:rFonts w:hint="eastAsia" w:ascii="Times New Roman" w:hAnsi="Times New Roman" w:eastAsia="宋体" w:cs="Times New Roman"/>
          <w:b w:val="0"/>
          <w:bCs/>
          <w:spacing w:val="-20"/>
          <w:kern w:val="0"/>
          <w:highlight w:val="none"/>
          <w:lang w:eastAsia="zh-CN"/>
        </w:rPr>
        <w:t>黄金朝、封礼斌、潘丹丹、李</w:t>
      </w:r>
      <w:r>
        <w:rPr>
          <w:rFonts w:hint="eastAsia" w:ascii="Times New Roman" w:hAnsi="Times New Roman" w:eastAsia="宋体" w:cs="Times New Roman"/>
          <w:b w:val="0"/>
          <w:bCs/>
          <w:spacing w:val="-20"/>
          <w:kern w:val="0"/>
          <w:highlight w:val="none"/>
          <w:lang w:val="en-US" w:eastAsia="zh-CN"/>
        </w:rPr>
        <w:t xml:space="preserve">  </w:t>
      </w:r>
      <w:r>
        <w:rPr>
          <w:rFonts w:hint="eastAsia" w:ascii="Times New Roman" w:hAnsi="Times New Roman" w:eastAsia="宋体" w:cs="Times New Roman"/>
          <w:b w:val="0"/>
          <w:bCs/>
          <w:spacing w:val="-20"/>
          <w:kern w:val="0"/>
          <w:highlight w:val="none"/>
          <w:lang w:eastAsia="zh-CN"/>
        </w:rPr>
        <w:t>晓、周</w:t>
      </w:r>
      <w:r>
        <w:rPr>
          <w:rFonts w:hint="eastAsia" w:ascii="Times New Roman" w:hAnsi="Times New Roman" w:eastAsia="宋体" w:cs="Times New Roman"/>
          <w:b w:val="0"/>
          <w:bCs/>
          <w:spacing w:val="-20"/>
          <w:kern w:val="0"/>
          <w:highlight w:val="none"/>
          <w:lang w:val="en-US" w:eastAsia="zh-CN"/>
        </w:rPr>
        <w:t xml:space="preserve">   </w:t>
      </w:r>
      <w:r>
        <w:rPr>
          <w:rFonts w:hint="eastAsia" w:ascii="Times New Roman" w:hAnsi="Times New Roman" w:eastAsia="宋体" w:cs="Times New Roman"/>
          <w:b w:val="0"/>
          <w:bCs/>
          <w:spacing w:val="-20"/>
          <w:kern w:val="0"/>
          <w:highlight w:val="none"/>
          <w:lang w:eastAsia="zh-CN"/>
        </w:rPr>
        <w:t>倩</w:t>
      </w:r>
    </w:p>
    <w:p>
      <w:pPr>
        <w:ind w:left="2573" w:leftChars="308" w:hanging="1587" w:hangingChars="496"/>
        <w:rPr>
          <w:rFonts w:hint="eastAsia" w:ascii="Times New Roman" w:hAnsi="Times New Roman" w:eastAsia="宋体" w:cs="Times New Roman"/>
          <w:snapToGrid w:val="0"/>
          <w:kern w:val="0"/>
          <w:highlight w:val="none"/>
          <w:lang w:val="en-US" w:eastAsia="zh-CN"/>
        </w:rPr>
      </w:pPr>
      <w:r>
        <w:rPr>
          <w:rFonts w:hint="eastAsia" w:ascii="Times New Roman" w:hAnsi="Times New Roman" w:eastAsia="宋体" w:cs="Times New Roman"/>
          <w:snapToGrid w:val="0"/>
          <w:kern w:val="0"/>
          <w:highlight w:val="none"/>
          <w:lang w:val="en-US" w:eastAsia="zh-CN"/>
        </w:rPr>
        <w:t xml:space="preserve">          王华兰、周  勇、尹仁丽</w:t>
      </w:r>
    </w:p>
    <w:p>
      <w:pPr>
        <w:spacing w:line="700" w:lineRule="exact"/>
        <w:ind w:firstLine="1602" w:firstLineChars="445"/>
        <w:rPr>
          <w:rFonts w:hint="default" w:ascii="Times New Roman" w:hAnsi="Times New Roman" w:eastAsia="宋体" w:cs="Times New Roman"/>
          <w:spacing w:val="20"/>
        </w:rPr>
      </w:pPr>
    </w:p>
    <w:p>
      <w:pPr>
        <w:spacing w:line="700" w:lineRule="exact"/>
        <w:ind w:firstLine="1602" w:firstLineChars="445"/>
        <w:rPr>
          <w:rFonts w:hint="default" w:ascii="Times New Roman" w:hAnsi="Times New Roman" w:cs="Times New Roman"/>
          <w:snapToGrid w:val="0"/>
          <w:spacing w:val="20"/>
          <w:kern w:val="0"/>
          <w:sz w:val="30"/>
          <w:szCs w:val="30"/>
        </w:rPr>
      </w:pPr>
      <w:r>
        <w:rPr>
          <w:rFonts w:hint="default" w:ascii="Times New Roman" w:hAnsi="Times New Roman" w:eastAsia="宋体" w:cs="Times New Roman"/>
          <w:spacing w:val="20"/>
        </w:rPr>
        <w:t>贵州省洪鑫环境检测服务有限公司</w:t>
      </w:r>
    </w:p>
    <w:p>
      <w:pPr>
        <w:ind w:firstLine="2079" w:firstLineChars="99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    址：贵州省兴义市桔山办桔园村克玛山小区</w:t>
      </w:r>
    </w:p>
    <w:p>
      <w:pPr>
        <w:ind w:firstLine="2079" w:firstLineChars="99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    话：(0859)3669368</w:t>
      </w:r>
    </w:p>
    <w:p>
      <w:pPr>
        <w:ind w:firstLine="2079" w:firstLineChars="99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传    真：(0859)3669368</w:t>
      </w:r>
    </w:p>
    <w:p>
      <w:pPr>
        <w:ind w:firstLine="2079" w:firstLineChars="99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电子邮箱：gzhxhjjc@163.com</w:t>
      </w:r>
    </w:p>
    <w:p>
      <w:pPr>
        <w:ind w:firstLine="2100" w:firstLineChars="10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邮    编：562400</w:t>
      </w:r>
    </w:p>
    <w:p>
      <w:pPr>
        <w:ind w:firstLine="2100" w:firstLineChars="1000"/>
        <w:rPr>
          <w:rFonts w:hint="default" w:ascii="Times New Roman" w:hAnsi="Times New Roman" w:eastAsia="宋体" w:cs="Times New Roman"/>
          <w:sz w:val="21"/>
          <w:szCs w:val="21"/>
        </w:rPr>
      </w:pPr>
    </w:p>
    <w:p>
      <w:pPr>
        <w:jc w:val="both"/>
        <w:rPr>
          <w:rFonts w:hint="default" w:ascii="Times New Roman" w:hAnsi="Times New Roman" w:eastAsia="宋体" w:cs="Times New Roman"/>
          <w:b/>
          <w:bCs/>
          <w:sz w:val="32"/>
          <w:szCs w:val="32"/>
          <w:lang w:eastAsia="zh-CN"/>
        </w:rPr>
      </w:pPr>
    </w:p>
    <w:p>
      <w:pPr>
        <w:jc w:val="center"/>
        <w:rPr>
          <w:rFonts w:hint="default" w:ascii="Times New Roman" w:hAnsi="Times New Roman" w:eastAsia="宋体" w:cs="Times New Roman"/>
          <w:b/>
          <w:bCs/>
          <w:sz w:val="32"/>
          <w:szCs w:val="32"/>
          <w:lang w:eastAsia="zh-CN"/>
        </w:rPr>
        <w:sectPr>
          <w:pgSz w:w="11906" w:h="16838"/>
          <w:pgMar w:top="1440" w:right="1800" w:bottom="1440" w:left="1800" w:header="851" w:footer="992" w:gutter="0"/>
          <w:pgNumType w:fmt="decimal" w:start="1"/>
          <w:cols w:space="720" w:num="1"/>
          <w:docGrid w:type="lines" w:linePitch="312" w:charSpace="0"/>
        </w:sectPr>
      </w:pPr>
    </w:p>
    <w:p>
      <w:pPr>
        <w:spacing w:line="36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b/>
          <w:bCs/>
          <w:sz w:val="28"/>
          <w:szCs w:val="28"/>
          <w:lang w:eastAsia="zh-CN"/>
        </w:rPr>
        <w:t>目</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sz w:val="28"/>
          <w:szCs w:val="28"/>
          <w:lang w:eastAsia="zh-CN"/>
        </w:rPr>
        <w:t>录</w:t>
      </w:r>
      <w:r>
        <w:rPr>
          <w:rFonts w:hint="default" w:ascii="Times New Roman" w:hAnsi="Times New Roman" w:eastAsia="宋体" w:cs="Times New Roman"/>
          <w:sz w:val="24"/>
          <w:szCs w:val="24"/>
          <w:lang w:eastAsia="zh-CN"/>
        </w:rPr>
        <w:fldChar w:fldCharType="begin"/>
      </w:r>
      <w:r>
        <w:rPr>
          <w:rFonts w:hint="default" w:ascii="Times New Roman" w:hAnsi="Times New Roman" w:eastAsia="宋体" w:cs="Times New Roman"/>
          <w:sz w:val="24"/>
          <w:szCs w:val="24"/>
          <w:lang w:eastAsia="zh-CN"/>
        </w:rPr>
        <w:instrText xml:space="preserve">TOC \o "1-3" \h \u </w:instrText>
      </w:r>
      <w:r>
        <w:rPr>
          <w:rFonts w:hint="default" w:ascii="Times New Roman" w:hAnsi="Times New Roman" w:eastAsia="宋体" w:cs="Times New Roman"/>
          <w:sz w:val="24"/>
          <w:szCs w:val="24"/>
          <w:lang w:eastAsia="zh-CN"/>
        </w:rPr>
        <w:fldChar w:fldCharType="separate"/>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_Toc3559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一、前言</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_Toc3559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_Toc20992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二、验收监测依据</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_Toc20992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_Toc29542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三、建设项目工程概况</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_Toc29542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2</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_Toc14932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（一）</w:t>
      </w:r>
      <w:r>
        <w:rPr>
          <w:rFonts w:hint="default" w:ascii="Times New Roman" w:hAnsi="Times New Roman" w:cs="Times New Roman" w:eastAsiaTheme="minorEastAsia"/>
          <w:sz w:val="28"/>
          <w:szCs w:val="28"/>
        </w:rPr>
        <w:t>工程简介</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_Toc14932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2</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_Toc18325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val="en-US" w:eastAsia="zh-CN"/>
        </w:rPr>
        <w:t>（二）加油工艺流程</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_Toc18325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2</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_Toc26664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val="en-US" w:eastAsia="zh-CN"/>
        </w:rPr>
        <w:t>（三）主要污染物及防治措施</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_Toc26664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3</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_Toc4205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rPr>
        <w:t>四、环评批复意见</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_Toc4205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4</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_Toc30318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五、验收评价标准</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_Toc30318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4</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_Toc1196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六</w:t>
      </w:r>
      <w:r>
        <w:rPr>
          <w:rFonts w:hint="default" w:ascii="Times New Roman" w:hAnsi="Times New Roman" w:cs="Times New Roman" w:eastAsiaTheme="minorEastAsia"/>
          <w:sz w:val="28"/>
          <w:szCs w:val="28"/>
          <w:highlight w:val="none"/>
          <w:lang w:eastAsia="zh-CN"/>
        </w:rPr>
        <w:t>、验收监测内容及分析方法</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_Toc1196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5</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_Toc17181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（一）监测内容</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_Toc17181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5</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_Toc28285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val="en-US" w:eastAsia="zh-CN"/>
        </w:rPr>
        <w:t>（二）</w:t>
      </w:r>
      <w:r>
        <w:rPr>
          <w:rFonts w:hint="default" w:ascii="Times New Roman" w:hAnsi="Times New Roman" w:cs="Times New Roman" w:eastAsiaTheme="minorEastAsia"/>
          <w:sz w:val="28"/>
          <w:szCs w:val="28"/>
          <w:lang w:eastAsia="zh-CN"/>
        </w:rPr>
        <w:t>分析方法</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_Toc28285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6</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_Toc3189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七、</w:t>
      </w:r>
      <w:r>
        <w:rPr>
          <w:rFonts w:hint="default" w:ascii="Times New Roman" w:hAnsi="Times New Roman" w:cs="Times New Roman" w:eastAsiaTheme="minorEastAsia"/>
          <w:sz w:val="28"/>
          <w:szCs w:val="28"/>
        </w:rPr>
        <w:t>监测结果</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_Toc3189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6</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_Toc11649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val="en-US" w:eastAsia="zh-CN"/>
        </w:rPr>
        <w:t>（一）生产工况</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_Toc11649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6</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_Toc6900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val="en-US" w:eastAsia="zh-CN"/>
        </w:rPr>
        <w:t>（二）</w:t>
      </w:r>
      <w:r>
        <w:rPr>
          <w:rFonts w:hint="default" w:ascii="Times New Roman" w:hAnsi="Times New Roman" w:cs="Times New Roman" w:eastAsiaTheme="minorEastAsia"/>
          <w:sz w:val="28"/>
          <w:szCs w:val="28"/>
        </w:rPr>
        <w:t>质量保证</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_Toc6900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6</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_Toc5837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bCs/>
          <w:kern w:val="0"/>
          <w:sz w:val="28"/>
          <w:szCs w:val="28"/>
          <w:lang w:val="en-US" w:eastAsia="zh-CN"/>
        </w:rPr>
        <w:t>（三）</w:t>
      </w:r>
      <w:r>
        <w:rPr>
          <w:rFonts w:hint="default" w:ascii="Times New Roman" w:hAnsi="Times New Roman" w:cs="Times New Roman" w:eastAsiaTheme="minorEastAsia"/>
          <w:bCs/>
          <w:kern w:val="0"/>
          <w:sz w:val="28"/>
          <w:szCs w:val="28"/>
        </w:rPr>
        <w:t>监</w:t>
      </w:r>
      <w:r>
        <w:rPr>
          <w:rFonts w:hint="default" w:ascii="Times New Roman" w:hAnsi="Times New Roman" w:cs="Times New Roman" w:eastAsiaTheme="minorEastAsia"/>
          <w:bCs/>
          <w:sz w:val="28"/>
          <w:szCs w:val="28"/>
        </w:rPr>
        <w:t>测</w:t>
      </w:r>
      <w:r>
        <w:rPr>
          <w:rFonts w:hint="default" w:ascii="Times New Roman" w:hAnsi="Times New Roman" w:cs="Times New Roman" w:eastAsiaTheme="minorEastAsia"/>
          <w:bCs/>
          <w:kern w:val="0"/>
          <w:sz w:val="28"/>
          <w:szCs w:val="28"/>
        </w:rPr>
        <w:t>结果</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_Toc5837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7</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_Toc19278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val="en-US" w:eastAsia="zh-CN"/>
        </w:rPr>
        <w:t>八、</w:t>
      </w:r>
      <w:r>
        <w:rPr>
          <w:rFonts w:hint="default" w:ascii="Times New Roman" w:hAnsi="Times New Roman" w:cs="Times New Roman" w:eastAsiaTheme="minorEastAsia"/>
          <w:sz w:val="28"/>
          <w:szCs w:val="28"/>
          <w:lang w:eastAsia="zh-CN"/>
        </w:rPr>
        <w:t>环境管理检查</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_Toc19278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9</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_Toc1480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九、</w:t>
      </w:r>
      <w:r>
        <w:rPr>
          <w:rFonts w:hint="default" w:ascii="Times New Roman" w:hAnsi="Times New Roman" w:cs="Times New Roman" w:eastAsiaTheme="minorEastAsia"/>
          <w:sz w:val="28"/>
          <w:szCs w:val="28"/>
        </w:rPr>
        <w:t>验收监测结论及建议</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_Toc1480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_Toc11739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val="en-US" w:eastAsia="zh-CN"/>
        </w:rPr>
        <w:t>（一）</w:t>
      </w:r>
      <w:r>
        <w:rPr>
          <w:rFonts w:hint="default" w:ascii="Times New Roman" w:hAnsi="Times New Roman" w:cs="Times New Roman" w:eastAsiaTheme="minorEastAsia"/>
          <w:sz w:val="28"/>
          <w:szCs w:val="28"/>
          <w:lang w:eastAsia="zh-CN"/>
        </w:rPr>
        <w:t>验收监测结论</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_Toc11739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_Toc15436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val="en-US" w:eastAsia="zh-CN"/>
        </w:rPr>
        <w:t>（二) 建议</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_Toc15436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12</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outlineLvl w:val="9"/>
        <w:rPr>
          <w:rFonts w:hint="default" w:ascii="Times New Roman" w:hAnsi="Times New Roman" w:cs="Times New Roman" w:eastAsiaTheme="minorEastAsia"/>
          <w:sz w:val="28"/>
          <w:szCs w:val="28"/>
        </w:rPr>
      </w:pPr>
      <w:r>
        <w:rPr>
          <w:rFonts w:hint="default" w:ascii="Times New Roman" w:hAnsi="Times New Roman" w:cs="Times New Roman" w:eastAsiaTheme="minorEastAsia"/>
          <w:kern w:val="2"/>
          <w:sz w:val="28"/>
          <w:szCs w:val="28"/>
          <w:lang w:val="en-US" w:eastAsia="zh-CN" w:bidi="ar-SA"/>
        </w:rPr>
        <w:fldChar w:fldCharType="begin"/>
      </w:r>
      <w:r>
        <w:rPr>
          <w:rFonts w:hint="default" w:ascii="Times New Roman" w:hAnsi="Times New Roman" w:cs="Times New Roman" w:eastAsiaTheme="minorEastAsia"/>
          <w:kern w:val="2"/>
          <w:sz w:val="28"/>
          <w:szCs w:val="28"/>
          <w:lang w:val="en-US" w:eastAsia="zh-CN" w:bidi="ar-SA"/>
        </w:rPr>
        <w:instrText xml:space="preserve"> HYPERLINK \l _Toc29562 </w:instrText>
      </w:r>
      <w:r>
        <w:rPr>
          <w:rFonts w:hint="default" w:ascii="Times New Roman" w:hAnsi="Times New Roman" w:cs="Times New Roman" w:eastAsiaTheme="minorEastAsia"/>
          <w:kern w:val="2"/>
          <w:sz w:val="28"/>
          <w:szCs w:val="28"/>
          <w:lang w:val="en-US" w:eastAsia="zh-CN" w:bidi="ar-SA"/>
        </w:rPr>
        <w:fldChar w:fldCharType="separate"/>
      </w:r>
      <w:r>
        <w:rPr>
          <w:rFonts w:hint="default" w:ascii="Times New Roman" w:hAnsi="Times New Roman" w:cs="Times New Roman" w:eastAsiaTheme="minorEastAsia"/>
          <w:sz w:val="28"/>
          <w:szCs w:val="28"/>
          <w:lang w:eastAsia="zh-CN"/>
        </w:rPr>
        <w:t>十</w:t>
      </w:r>
      <w:r>
        <w:rPr>
          <w:rFonts w:hint="default" w:ascii="Times New Roman" w:hAnsi="Times New Roman" w:cs="Times New Roman" w:eastAsiaTheme="minorEastAsia"/>
          <w:sz w:val="28"/>
          <w:szCs w:val="28"/>
        </w:rPr>
        <w:t>、</w:t>
      </w:r>
      <w:r>
        <w:rPr>
          <w:rFonts w:hint="default" w:ascii="Times New Roman" w:hAnsi="Times New Roman" w:cs="Times New Roman" w:eastAsiaTheme="minorEastAsia"/>
          <w:sz w:val="28"/>
          <w:szCs w:val="28"/>
          <w:lang w:eastAsia="zh-CN"/>
        </w:rPr>
        <w:t>附图</w:t>
      </w:r>
      <w:r>
        <w:rPr>
          <w:rFonts w:hint="default" w:ascii="Times New Roman" w:hAnsi="Times New Roman" w:cs="Times New Roman" w:eastAsiaTheme="minorEastAsia"/>
          <w:sz w:val="28"/>
          <w:szCs w:val="28"/>
        </w:rPr>
        <w:t>附件</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PAGEREF _Toc29562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12</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kern w:val="2"/>
          <w:sz w:val="28"/>
          <w:szCs w:val="28"/>
          <w:lang w:val="en-US" w:eastAsia="zh-CN" w:bidi="ar-SA"/>
        </w:rPr>
        <w:fldChar w:fldCharType="end"/>
      </w:r>
    </w:p>
    <w:p>
      <w:pPr>
        <w:spacing w:line="360" w:lineRule="auto"/>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kern w:val="2"/>
          <w:sz w:val="24"/>
          <w:szCs w:val="24"/>
          <w:lang w:val="en-US" w:eastAsia="zh-CN" w:bidi="ar-SA"/>
        </w:rPr>
        <w:fldChar w:fldCharType="end"/>
      </w:r>
    </w:p>
    <w:p>
      <w:pPr>
        <w:jc w:val="center"/>
        <w:rPr>
          <w:rFonts w:hint="default" w:ascii="Times New Roman" w:hAnsi="Times New Roman" w:eastAsia="宋体" w:cs="Times New Roman"/>
          <w:sz w:val="28"/>
          <w:szCs w:val="28"/>
        </w:rPr>
        <w:sectPr>
          <w:pgSz w:w="11906" w:h="16838"/>
          <w:pgMar w:top="1440" w:right="1800" w:bottom="1440" w:left="1800" w:header="851" w:footer="992" w:gutter="0"/>
          <w:pgNumType w:fmt="decimal" w:start="1"/>
          <w:cols w:space="720" w:num="1"/>
          <w:docGrid w:type="lines" w:linePitch="312" w:charSpace="0"/>
        </w:sectPr>
      </w:pPr>
    </w:p>
    <w:p>
      <w:pPr>
        <w:tabs>
          <w:tab w:val="left" w:pos="1980"/>
          <w:tab w:val="left" w:pos="2160"/>
        </w:tabs>
        <w:spacing w:line="360" w:lineRule="auto"/>
        <w:jc w:val="center"/>
        <w:rPr>
          <w:rFonts w:hint="default" w:ascii="Times New Roman" w:hAnsi="Times New Roman" w:eastAsia="宋体" w:cs="Times New Roman"/>
          <w:b/>
          <w:bCs/>
          <w:spacing w:val="0"/>
          <w:sz w:val="36"/>
          <w:szCs w:val="36"/>
          <w:u w:val="none" w:color="auto"/>
          <w:lang w:val="en-US" w:eastAsia="zh-CN"/>
        </w:rPr>
      </w:pPr>
      <w:r>
        <w:rPr>
          <w:rFonts w:hint="default" w:ascii="Times New Roman" w:hAnsi="Times New Roman" w:eastAsia="宋体" w:cs="Times New Roman"/>
          <w:b/>
          <w:bCs/>
          <w:spacing w:val="0"/>
          <w:sz w:val="36"/>
          <w:szCs w:val="36"/>
          <w:u w:val="none" w:color="auto"/>
          <w:lang w:val="en-US" w:eastAsia="zh-CN"/>
        </w:rPr>
        <w:t>中国石化销售有限公司贵州黔西南</w:t>
      </w:r>
      <w:r>
        <w:rPr>
          <w:rFonts w:hint="eastAsia" w:ascii="Times New Roman" w:hAnsi="Times New Roman" w:eastAsia="宋体" w:cs="Times New Roman"/>
          <w:b/>
          <w:bCs/>
          <w:spacing w:val="0"/>
          <w:sz w:val="36"/>
          <w:szCs w:val="36"/>
          <w:u w:val="none" w:color="auto"/>
          <w:lang w:val="en-US" w:eastAsia="zh-CN"/>
        </w:rPr>
        <w:t>贞丰城关</w:t>
      </w:r>
      <w:r>
        <w:rPr>
          <w:rFonts w:hint="default" w:ascii="Times New Roman" w:hAnsi="Times New Roman" w:eastAsia="宋体" w:cs="Times New Roman"/>
          <w:b/>
          <w:bCs/>
          <w:spacing w:val="0"/>
          <w:sz w:val="36"/>
          <w:szCs w:val="36"/>
          <w:u w:val="none" w:color="auto"/>
          <w:lang w:val="en-US" w:eastAsia="zh-CN"/>
        </w:rPr>
        <w:t>加油站</w:t>
      </w:r>
    </w:p>
    <w:p>
      <w:pPr>
        <w:tabs>
          <w:tab w:val="left" w:pos="1980"/>
          <w:tab w:val="left" w:pos="2160"/>
        </w:tabs>
        <w:spacing w:line="360" w:lineRule="auto"/>
        <w:jc w:val="center"/>
        <w:rPr>
          <w:rFonts w:hint="default" w:ascii="Times New Roman" w:hAnsi="Times New Roman" w:eastAsia="宋体" w:cs="Times New Roman"/>
          <w:b/>
          <w:bCs/>
          <w:spacing w:val="0"/>
          <w:sz w:val="36"/>
          <w:szCs w:val="36"/>
          <w:u w:val="none" w:color="auto"/>
          <w:lang w:eastAsia="zh-CN"/>
        </w:rPr>
      </w:pPr>
      <w:r>
        <w:rPr>
          <w:rFonts w:hint="default" w:ascii="Times New Roman" w:hAnsi="Times New Roman" w:eastAsia="宋体" w:cs="Times New Roman"/>
          <w:b/>
          <w:bCs/>
          <w:spacing w:val="0"/>
          <w:sz w:val="36"/>
          <w:szCs w:val="36"/>
          <w:u w:val="none" w:color="auto"/>
          <w:lang w:val="en-US" w:eastAsia="zh-CN"/>
        </w:rPr>
        <w:t>建设项目竣工环境保护验收检测</w:t>
      </w:r>
    </w:p>
    <w:p>
      <w:pPr>
        <w:pStyle w:val="2"/>
        <w:rPr>
          <w:rFonts w:hint="default" w:ascii="Times New Roman" w:hAnsi="Times New Roman" w:cs="Times New Roman"/>
          <w:sz w:val="10"/>
          <w:szCs w:val="10"/>
          <w:lang w:eastAsia="zh-CN"/>
        </w:rPr>
      </w:pPr>
    </w:p>
    <w:p>
      <w:pPr>
        <w:pStyle w:val="3"/>
        <w:rPr>
          <w:rFonts w:hint="default" w:ascii="Times New Roman" w:hAnsi="Times New Roman" w:cs="Times New Roman"/>
        </w:rPr>
      </w:pPr>
      <w:bookmarkStart w:id="23" w:name="_Toc3559"/>
      <w:r>
        <w:rPr>
          <w:rFonts w:hint="default" w:ascii="Times New Roman" w:hAnsi="Times New Roman" w:cs="Times New Roman"/>
          <w:lang w:eastAsia="zh-CN"/>
        </w:rPr>
        <w:t>一、前言</w:t>
      </w:r>
      <w:bookmarkEnd w:id="23"/>
    </w:p>
    <w:p>
      <w:pPr>
        <w:pStyle w:val="18"/>
        <w:keepNext w:val="0"/>
        <w:keepLines w:val="0"/>
        <w:pageBreakBefore w:val="0"/>
        <w:widowControl/>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受</w:t>
      </w:r>
      <w:r>
        <w:rPr>
          <w:rFonts w:hint="default" w:ascii="Times New Roman" w:hAnsi="Times New Roman" w:cs="Times New Roman" w:eastAsiaTheme="minorEastAsia"/>
          <w:sz w:val="28"/>
          <w:szCs w:val="28"/>
          <w:lang w:eastAsia="zh-CN"/>
        </w:rPr>
        <w:t>中国石化销售有限公司贵州黔西南</w:t>
      </w:r>
      <w:r>
        <w:rPr>
          <w:rFonts w:hint="eastAsia" w:ascii="Times New Roman" w:hAnsi="Times New Roman" w:cs="Times New Roman" w:eastAsiaTheme="minorEastAsia"/>
          <w:sz w:val="28"/>
          <w:szCs w:val="28"/>
          <w:lang w:eastAsia="zh-CN"/>
        </w:rPr>
        <w:t>贞丰</w:t>
      </w:r>
      <w:r>
        <w:rPr>
          <w:rFonts w:hint="default" w:ascii="Times New Roman" w:hAnsi="Times New Roman" w:cs="Times New Roman" w:eastAsiaTheme="minorEastAsia"/>
          <w:sz w:val="28"/>
          <w:szCs w:val="28"/>
          <w:lang w:eastAsia="zh-CN"/>
        </w:rPr>
        <w:t>石油分公司</w:t>
      </w:r>
      <w:r>
        <w:rPr>
          <w:rFonts w:hint="default" w:ascii="Times New Roman" w:hAnsi="Times New Roman" w:cs="Times New Roman" w:eastAsiaTheme="minorEastAsia"/>
          <w:sz w:val="28"/>
          <w:szCs w:val="28"/>
        </w:rPr>
        <w:t>委托，贵州省洪鑫环境检测服务有限公司承</w:t>
      </w:r>
      <w:r>
        <w:rPr>
          <w:rFonts w:hint="default" w:ascii="Times New Roman" w:hAnsi="Times New Roman" w:cs="Times New Roman" w:eastAsiaTheme="minorEastAsia"/>
          <w:sz w:val="28"/>
          <w:szCs w:val="28"/>
          <w:lang w:eastAsia="zh-CN"/>
        </w:rPr>
        <w:t>担</w:t>
      </w:r>
      <w:r>
        <w:rPr>
          <w:rFonts w:hint="eastAsia" w:ascii="Times New Roman" w:hAnsi="Times New Roman" w:cs="Times New Roman" w:eastAsiaTheme="minorEastAsia"/>
          <w:sz w:val="28"/>
          <w:szCs w:val="28"/>
          <w:lang w:eastAsia="zh-CN"/>
        </w:rPr>
        <w:t>贞丰</w:t>
      </w:r>
      <w:r>
        <w:rPr>
          <w:rFonts w:hint="default" w:ascii="Times New Roman" w:hAnsi="Times New Roman" w:cs="Times New Roman" w:eastAsiaTheme="minorEastAsia"/>
          <w:sz w:val="28"/>
          <w:szCs w:val="28"/>
          <w:lang w:eastAsia="zh-CN"/>
        </w:rPr>
        <w:t>县</w:t>
      </w:r>
      <w:r>
        <w:rPr>
          <w:rFonts w:hint="eastAsia" w:ascii="Times New Roman" w:hAnsi="Times New Roman" w:cs="Times New Roman" w:eastAsiaTheme="minorEastAsia"/>
          <w:sz w:val="28"/>
          <w:szCs w:val="28"/>
          <w:lang w:eastAsia="zh-CN"/>
        </w:rPr>
        <w:t>城关加油站建设</w:t>
      </w:r>
      <w:r>
        <w:rPr>
          <w:rFonts w:hint="default" w:ascii="Times New Roman" w:hAnsi="Times New Roman" w:cs="Times New Roman" w:eastAsiaTheme="minorEastAsia"/>
          <w:sz w:val="28"/>
          <w:szCs w:val="28"/>
          <w:lang w:eastAsia="zh-CN"/>
        </w:rPr>
        <w:t>项目竣工环境保护验收检测</w:t>
      </w:r>
      <w:r>
        <w:rPr>
          <w:rFonts w:hint="default" w:ascii="Times New Roman" w:hAnsi="Times New Roman" w:cs="Times New Roman" w:eastAsiaTheme="minorEastAsia"/>
          <w:sz w:val="28"/>
          <w:szCs w:val="28"/>
        </w:rPr>
        <w:t>工作。</w:t>
      </w:r>
      <w:r>
        <w:rPr>
          <w:rFonts w:hint="eastAsia" w:ascii="Times New Roman" w:hAnsi="Times New Roman" w:cs="Times New Roman" w:eastAsiaTheme="minorEastAsia"/>
          <w:sz w:val="28"/>
          <w:szCs w:val="28"/>
          <w:lang w:eastAsia="zh-CN"/>
        </w:rPr>
        <w:t>依据《</w:t>
      </w:r>
      <w:r>
        <w:rPr>
          <w:rFonts w:hint="default" w:ascii="Times New Roman" w:hAnsi="Times New Roman" w:cs="Times New Roman" w:eastAsiaTheme="minorEastAsia"/>
          <w:sz w:val="28"/>
          <w:szCs w:val="28"/>
          <w:lang w:eastAsia="zh-CN"/>
        </w:rPr>
        <w:t>中国石化销售有限公司贵州黔西南贞丰城关加油站建设项目环境影响报告表</w:t>
      </w:r>
      <w:r>
        <w:rPr>
          <w:rFonts w:hint="eastAsia" w:ascii="Times New Roman" w:hAnsi="Times New Roman" w:cs="Times New Roman" w:eastAsiaTheme="minorEastAsia"/>
          <w:sz w:val="28"/>
          <w:szCs w:val="28"/>
          <w:lang w:eastAsia="zh-CN"/>
        </w:rPr>
        <w:t>》贵州绿宏环保科技有限公司</w:t>
      </w:r>
      <w:r>
        <w:rPr>
          <w:rFonts w:hint="eastAsia" w:ascii="Times New Roman" w:hAnsi="Times New Roman" w:cs="Times New Roman" w:eastAsiaTheme="minorEastAsia"/>
          <w:sz w:val="28"/>
          <w:szCs w:val="28"/>
          <w:lang w:val="en-US" w:eastAsia="zh-CN"/>
        </w:rPr>
        <w:t>2018年1月，</w:t>
      </w:r>
      <w:r>
        <w:rPr>
          <w:rFonts w:hint="eastAsia" w:ascii="Times New Roman" w:hAnsi="Times New Roman" w:cs="Times New Roman" w:eastAsiaTheme="minorEastAsia"/>
          <w:sz w:val="28"/>
          <w:szCs w:val="28"/>
          <w:lang w:eastAsia="zh-CN"/>
        </w:rPr>
        <w:t>贞丰</w:t>
      </w:r>
      <w:r>
        <w:rPr>
          <w:rFonts w:hint="default" w:ascii="Times New Roman" w:hAnsi="Times New Roman" w:cs="Times New Roman" w:eastAsiaTheme="minorEastAsia"/>
          <w:sz w:val="28"/>
          <w:szCs w:val="28"/>
          <w:lang w:eastAsia="zh-CN"/>
        </w:rPr>
        <w:t>县环境保护局关于对《中国石化销售有限公司贵州黔西南贞丰城关加油站建设项目环境影响报告表》贞环审核</w:t>
      </w:r>
      <w:r>
        <w:rPr>
          <w:rFonts w:hint="default" w:ascii="Times New Roman" w:hAnsi="Times New Roman" w:cs="Times New Roman" w:eastAsiaTheme="minorEastAsia"/>
          <w:sz w:val="28"/>
          <w:szCs w:val="28"/>
          <w:lang w:val="en-US" w:eastAsia="zh-CN"/>
        </w:rPr>
        <w:t>[2018]13号2018年3月28日。</w:t>
      </w:r>
      <w:r>
        <w:rPr>
          <w:rFonts w:hint="default" w:ascii="Times New Roman" w:hAnsi="Times New Roman" w:cs="Times New Roman" w:eastAsiaTheme="minorEastAsia"/>
          <w:sz w:val="28"/>
          <w:szCs w:val="28"/>
        </w:rPr>
        <w:t>于201</w:t>
      </w:r>
      <w:r>
        <w:rPr>
          <w:rFonts w:hint="default" w:ascii="Times New Roman" w:hAnsi="Times New Roman" w:cs="Times New Roman" w:eastAsiaTheme="minorEastAsia"/>
          <w:sz w:val="28"/>
          <w:szCs w:val="28"/>
          <w:lang w:val="en-US" w:eastAsia="zh-CN"/>
        </w:rPr>
        <w:t>8</w:t>
      </w:r>
      <w:r>
        <w:rPr>
          <w:rFonts w:hint="default" w:ascii="Times New Roman" w:hAnsi="Times New Roman" w:cs="Times New Roman" w:eastAsiaTheme="minorEastAsia"/>
          <w:sz w:val="28"/>
          <w:szCs w:val="28"/>
        </w:rPr>
        <w:t>年</w:t>
      </w:r>
      <w:r>
        <w:rPr>
          <w:rFonts w:hint="eastAsia" w:ascii="Times New Roman" w:hAnsi="Times New Roman" w:cs="Times New Roman" w:eastAsiaTheme="minorEastAsia"/>
          <w:sz w:val="28"/>
          <w:szCs w:val="28"/>
          <w:lang w:val="en-US" w:eastAsia="zh-CN"/>
        </w:rPr>
        <w:t>4</w:t>
      </w:r>
      <w:r>
        <w:rPr>
          <w:rFonts w:hint="default" w:ascii="Times New Roman" w:hAnsi="Times New Roman" w:cs="Times New Roman" w:eastAsiaTheme="minorEastAsia"/>
          <w:sz w:val="28"/>
          <w:szCs w:val="28"/>
        </w:rPr>
        <w:t>月</w:t>
      </w:r>
      <w:r>
        <w:rPr>
          <w:rFonts w:hint="eastAsia" w:ascii="Times New Roman" w:hAnsi="Times New Roman" w:cs="Times New Roman" w:eastAsiaTheme="minorEastAsia"/>
          <w:color w:val="auto"/>
          <w:sz w:val="28"/>
          <w:szCs w:val="28"/>
          <w:lang w:val="en-US" w:eastAsia="zh-CN"/>
        </w:rPr>
        <w:t>11</w:t>
      </w:r>
      <w:r>
        <w:rPr>
          <w:rFonts w:hint="default" w:ascii="Times New Roman" w:hAnsi="Times New Roman" w:cs="Times New Roman" w:eastAsiaTheme="minorEastAsia"/>
          <w:sz w:val="28"/>
          <w:szCs w:val="28"/>
        </w:rPr>
        <w:t>日进行现场勘察，</w:t>
      </w:r>
      <w:r>
        <w:rPr>
          <w:rFonts w:hint="default" w:ascii="Times New Roman" w:hAnsi="Times New Roman" w:cs="Times New Roman" w:eastAsiaTheme="minorEastAsia"/>
          <w:sz w:val="28"/>
          <w:szCs w:val="28"/>
          <w:lang w:eastAsia="zh-CN"/>
        </w:rPr>
        <w:t>布置监测点位，</w:t>
      </w:r>
      <w:r>
        <w:rPr>
          <w:rFonts w:hint="default" w:ascii="Times New Roman" w:hAnsi="Times New Roman" w:cs="Times New Roman" w:eastAsiaTheme="minorEastAsia"/>
          <w:sz w:val="28"/>
          <w:szCs w:val="28"/>
        </w:rPr>
        <w:t>确定监测因子，编写</w:t>
      </w:r>
      <w:r>
        <w:rPr>
          <w:rFonts w:hint="default" w:ascii="Times New Roman" w:hAnsi="Times New Roman" w:cs="Times New Roman" w:eastAsiaTheme="minorEastAsia"/>
          <w:sz w:val="28"/>
          <w:szCs w:val="28"/>
          <w:lang w:eastAsia="zh-CN"/>
        </w:rPr>
        <w:t>监测</w:t>
      </w:r>
      <w:r>
        <w:rPr>
          <w:rFonts w:hint="default" w:ascii="Times New Roman" w:hAnsi="Times New Roman" w:cs="Times New Roman" w:eastAsiaTheme="minorEastAsia"/>
          <w:sz w:val="28"/>
          <w:szCs w:val="28"/>
        </w:rPr>
        <w:t>方案。</w:t>
      </w:r>
      <w:r>
        <w:rPr>
          <w:rFonts w:hint="default" w:ascii="Times New Roman" w:hAnsi="Times New Roman" w:cs="Times New Roman" w:eastAsiaTheme="minorEastAsia"/>
          <w:sz w:val="28"/>
          <w:szCs w:val="28"/>
          <w:lang w:eastAsia="zh-CN"/>
        </w:rPr>
        <w:t>于</w:t>
      </w:r>
      <w:r>
        <w:rPr>
          <w:rFonts w:hint="default" w:ascii="Times New Roman" w:hAnsi="Times New Roman" w:cs="Times New Roman" w:eastAsiaTheme="minorEastAsia"/>
          <w:sz w:val="28"/>
          <w:szCs w:val="28"/>
          <w:lang w:val="en-US" w:eastAsia="zh-CN"/>
        </w:rPr>
        <w:t>2018年</w:t>
      </w:r>
      <w:r>
        <w:rPr>
          <w:rFonts w:hint="eastAsia" w:ascii="Times New Roman" w:hAnsi="Times New Roman" w:cs="Times New Roman" w:eastAsiaTheme="minorEastAsia"/>
          <w:sz w:val="28"/>
          <w:szCs w:val="28"/>
          <w:lang w:val="en-US" w:eastAsia="zh-CN"/>
        </w:rPr>
        <w:t>4</w:t>
      </w:r>
      <w:r>
        <w:rPr>
          <w:rFonts w:hint="default" w:ascii="Times New Roman" w:hAnsi="Times New Roman" w:cs="Times New Roman" w:eastAsiaTheme="minorEastAsia"/>
          <w:sz w:val="28"/>
          <w:szCs w:val="28"/>
          <w:lang w:val="en-US" w:eastAsia="zh-CN"/>
        </w:rPr>
        <w:t>月</w:t>
      </w:r>
      <w:r>
        <w:rPr>
          <w:rFonts w:hint="eastAsia" w:ascii="Times New Roman" w:hAnsi="Times New Roman" w:cs="Times New Roman" w:eastAsiaTheme="minorEastAsia"/>
          <w:sz w:val="28"/>
          <w:szCs w:val="28"/>
          <w:lang w:val="en-US" w:eastAsia="zh-CN"/>
        </w:rPr>
        <w:t>17</w:t>
      </w:r>
      <w:r>
        <w:rPr>
          <w:rFonts w:hint="default" w:ascii="Times New Roman" w:hAnsi="Times New Roman" w:cs="Times New Roman" w:eastAsiaTheme="minorEastAsia"/>
          <w:sz w:val="28"/>
          <w:szCs w:val="28"/>
          <w:lang w:val="en-US" w:eastAsia="zh-CN"/>
        </w:rPr>
        <w:t>~</w:t>
      </w:r>
      <w:r>
        <w:rPr>
          <w:rFonts w:hint="eastAsia" w:ascii="Times New Roman" w:hAnsi="Times New Roman" w:cs="Times New Roman" w:eastAsiaTheme="minorEastAsia"/>
          <w:sz w:val="28"/>
          <w:szCs w:val="28"/>
          <w:lang w:val="en-US" w:eastAsia="zh-CN"/>
        </w:rPr>
        <w:t>18</w:t>
      </w:r>
      <w:r>
        <w:rPr>
          <w:rFonts w:hint="default" w:ascii="Times New Roman" w:hAnsi="Times New Roman" w:cs="Times New Roman" w:eastAsiaTheme="minorEastAsia"/>
          <w:sz w:val="28"/>
          <w:szCs w:val="28"/>
          <w:lang w:val="en-US" w:eastAsia="zh-CN"/>
        </w:rPr>
        <w:t>日</w:t>
      </w:r>
      <w:r>
        <w:rPr>
          <w:rFonts w:hint="default" w:ascii="Times New Roman" w:hAnsi="Times New Roman" w:cs="Times New Roman" w:eastAsiaTheme="minorEastAsia"/>
          <w:sz w:val="28"/>
          <w:szCs w:val="28"/>
        </w:rPr>
        <w:t>对该项目</w:t>
      </w:r>
      <w:r>
        <w:rPr>
          <w:rFonts w:hint="eastAsia" w:ascii="Times New Roman" w:hAnsi="Times New Roman" w:cs="Times New Roman" w:eastAsiaTheme="minorEastAsia"/>
          <w:sz w:val="28"/>
          <w:szCs w:val="28"/>
          <w:lang w:eastAsia="zh-CN"/>
        </w:rPr>
        <w:t>废水、</w:t>
      </w:r>
      <w:r>
        <w:rPr>
          <w:rFonts w:hint="default" w:ascii="Times New Roman" w:hAnsi="Times New Roman" w:cs="Times New Roman" w:eastAsiaTheme="minorEastAsia"/>
          <w:sz w:val="28"/>
          <w:szCs w:val="28"/>
          <w:lang w:eastAsia="zh-CN"/>
        </w:rPr>
        <w:t>无组织排放废气</w:t>
      </w:r>
      <w:r>
        <w:rPr>
          <w:rFonts w:hint="default" w:ascii="Times New Roman" w:hAnsi="Times New Roman" w:cs="Times New Roman" w:eastAsiaTheme="minorEastAsia"/>
          <w:sz w:val="28"/>
          <w:szCs w:val="28"/>
        </w:rPr>
        <w:t>进行</w:t>
      </w:r>
      <w:r>
        <w:rPr>
          <w:rFonts w:hint="default" w:ascii="Times New Roman" w:hAnsi="Times New Roman" w:cs="Times New Roman" w:eastAsiaTheme="minorEastAsia"/>
          <w:sz w:val="28"/>
          <w:szCs w:val="28"/>
          <w:lang w:eastAsia="zh-CN"/>
        </w:rPr>
        <w:t>采样</w:t>
      </w:r>
      <w:r>
        <w:rPr>
          <w:rFonts w:hint="default" w:ascii="Times New Roman" w:hAnsi="Times New Roman" w:cs="Times New Roman" w:eastAsiaTheme="minorEastAsia"/>
          <w:sz w:val="28"/>
          <w:szCs w:val="28"/>
        </w:rPr>
        <w:t>监测</w:t>
      </w:r>
      <w:r>
        <w:rPr>
          <w:rFonts w:hint="default" w:ascii="Times New Roman" w:hAnsi="Times New Roman" w:cs="Times New Roman" w:eastAsiaTheme="minorEastAsia"/>
          <w:sz w:val="28"/>
          <w:szCs w:val="28"/>
          <w:lang w:eastAsia="zh-CN"/>
        </w:rPr>
        <w:t>，对站界</w:t>
      </w:r>
      <w:r>
        <w:rPr>
          <w:rFonts w:hint="default" w:ascii="Times New Roman" w:hAnsi="Times New Roman" w:cs="Times New Roman" w:eastAsiaTheme="minorEastAsia"/>
          <w:sz w:val="28"/>
          <w:szCs w:val="28"/>
        </w:rPr>
        <w:t>噪声</w:t>
      </w:r>
      <w:r>
        <w:rPr>
          <w:rFonts w:hint="default" w:ascii="Times New Roman" w:hAnsi="Times New Roman" w:cs="Times New Roman" w:eastAsiaTheme="minorEastAsia"/>
          <w:sz w:val="28"/>
          <w:szCs w:val="28"/>
          <w:lang w:eastAsia="zh-CN"/>
        </w:rPr>
        <w:t>进行测量，</w:t>
      </w:r>
      <w:r>
        <w:rPr>
          <w:rFonts w:hint="default" w:ascii="Times New Roman" w:hAnsi="Times New Roman" w:cs="Times New Roman" w:eastAsiaTheme="minorEastAsia"/>
          <w:sz w:val="28"/>
          <w:szCs w:val="28"/>
        </w:rPr>
        <w:t>并即时完成化验分析测定，数据</w:t>
      </w:r>
      <w:r>
        <w:rPr>
          <w:rFonts w:hint="eastAsia" w:ascii="Times New Roman" w:hAnsi="Times New Roman" w:cs="Times New Roman" w:eastAsiaTheme="minorEastAsia"/>
          <w:sz w:val="28"/>
          <w:szCs w:val="28"/>
          <w:lang w:eastAsia="zh-CN"/>
        </w:rPr>
        <w:t>经</w:t>
      </w:r>
      <w:r>
        <w:rPr>
          <w:rFonts w:hint="default" w:ascii="Times New Roman" w:hAnsi="Times New Roman" w:cs="Times New Roman" w:eastAsiaTheme="minorEastAsia"/>
          <w:sz w:val="28"/>
          <w:szCs w:val="28"/>
        </w:rPr>
        <w:t>整理，根据</w:t>
      </w:r>
      <w:r>
        <w:rPr>
          <w:rFonts w:hint="eastAsia" w:ascii="Times New Roman" w:hAnsi="Times New Roman" w:cs="Times New Roman" w:eastAsiaTheme="minorEastAsia"/>
          <w:sz w:val="28"/>
          <w:szCs w:val="28"/>
          <w:lang w:eastAsia="zh-CN"/>
        </w:rPr>
        <w:t>检</w:t>
      </w:r>
      <w:r>
        <w:rPr>
          <w:rFonts w:hint="default" w:ascii="Times New Roman" w:hAnsi="Times New Roman" w:cs="Times New Roman" w:eastAsiaTheme="minorEastAsia"/>
          <w:sz w:val="28"/>
          <w:szCs w:val="28"/>
        </w:rPr>
        <w:t>测结果和环境管理检查等情况，编制本</w:t>
      </w:r>
      <w:r>
        <w:rPr>
          <w:rFonts w:hint="default" w:ascii="Times New Roman" w:hAnsi="Times New Roman" w:cs="Times New Roman" w:eastAsiaTheme="minorEastAsia"/>
          <w:sz w:val="28"/>
          <w:szCs w:val="28"/>
          <w:lang w:eastAsia="zh-CN"/>
        </w:rPr>
        <w:t>项目</w:t>
      </w:r>
      <w:r>
        <w:rPr>
          <w:rFonts w:hint="default" w:ascii="Times New Roman" w:hAnsi="Times New Roman" w:cs="Times New Roman" w:eastAsiaTheme="minorEastAsia"/>
          <w:sz w:val="28"/>
          <w:szCs w:val="28"/>
        </w:rPr>
        <w:t>竣工验收</w:t>
      </w:r>
      <w:r>
        <w:rPr>
          <w:rFonts w:hint="default" w:ascii="Times New Roman" w:hAnsi="Times New Roman" w:cs="Times New Roman" w:eastAsiaTheme="minorEastAsia"/>
          <w:sz w:val="28"/>
          <w:szCs w:val="28"/>
          <w:lang w:eastAsia="zh-CN"/>
        </w:rPr>
        <w:t>检</w:t>
      </w:r>
      <w:r>
        <w:rPr>
          <w:rFonts w:hint="default" w:ascii="Times New Roman" w:hAnsi="Times New Roman" w:cs="Times New Roman" w:eastAsiaTheme="minorEastAsia"/>
          <w:sz w:val="28"/>
          <w:szCs w:val="28"/>
        </w:rPr>
        <w:t>测报告</w:t>
      </w:r>
      <w:r>
        <w:rPr>
          <w:rFonts w:hint="default" w:ascii="Times New Roman" w:hAnsi="Times New Roman" w:cs="Times New Roman" w:eastAsiaTheme="minorEastAsia"/>
          <w:sz w:val="28"/>
          <w:szCs w:val="28"/>
          <w:lang w:eastAsia="zh-CN"/>
        </w:rPr>
        <w:t>。</w:t>
      </w:r>
    </w:p>
    <w:p>
      <w:pPr>
        <w:pStyle w:val="3"/>
        <w:rPr>
          <w:rFonts w:hint="default" w:ascii="Times New Roman" w:hAnsi="Times New Roman" w:cs="Times New Roman"/>
          <w:lang w:eastAsia="zh-CN"/>
        </w:rPr>
      </w:pPr>
      <w:bookmarkStart w:id="24" w:name="_Toc20992"/>
      <w:bookmarkStart w:id="25" w:name="_Toc3046"/>
      <w:bookmarkStart w:id="26" w:name="_Toc29504"/>
      <w:r>
        <w:rPr>
          <w:rFonts w:hint="default" w:ascii="Times New Roman" w:hAnsi="Times New Roman" w:cs="Times New Roman"/>
          <w:lang w:eastAsia="zh-CN"/>
        </w:rPr>
        <w:t>二、验收监测依据</w:t>
      </w:r>
      <w:bookmarkEnd w:id="24"/>
      <w:bookmarkEnd w:id="25"/>
      <w:bookmarkEnd w:id="26"/>
    </w:p>
    <w:p>
      <w:pPr>
        <w:pStyle w:val="18"/>
        <w:keepNext w:val="0"/>
        <w:keepLines w:val="0"/>
        <w:pageBreakBefore w:val="0"/>
        <w:widowControl/>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default" w:ascii="Times New Roman" w:hAnsi="Times New Roman" w:cs="Times New Roman" w:eastAsiaTheme="minorEastAsia"/>
          <w:sz w:val="28"/>
          <w:szCs w:val="28"/>
          <w:lang w:val="en-US" w:eastAsia="zh-CN"/>
        </w:rPr>
      </w:pPr>
      <w:bookmarkStart w:id="27" w:name="_Toc23878"/>
      <w:bookmarkStart w:id="28" w:name="_Toc20050"/>
      <w:r>
        <w:rPr>
          <w:rFonts w:hint="default" w:ascii="Times New Roman" w:hAnsi="Times New Roman" w:cs="Times New Roman" w:eastAsiaTheme="minorEastAsia"/>
          <w:sz w:val="28"/>
          <w:szCs w:val="28"/>
          <w:lang w:val="en-US" w:eastAsia="zh-CN"/>
        </w:rPr>
        <w:t>1、国环规环评[2017]4号《建设项目竣工环境保护验收暂行办法》</w:t>
      </w:r>
      <w:r>
        <w:rPr>
          <w:rFonts w:hint="eastAsia" w:ascii="Times New Roman" w:hAnsi="Times New Roman" w:cs="Times New Roman" w:eastAsiaTheme="minorEastAsia"/>
          <w:sz w:val="28"/>
          <w:szCs w:val="28"/>
          <w:lang w:val="en-US" w:eastAsia="zh-CN"/>
        </w:rPr>
        <w:t>。</w:t>
      </w:r>
    </w:p>
    <w:p>
      <w:pPr>
        <w:pStyle w:val="18"/>
        <w:keepNext w:val="0"/>
        <w:keepLines w:val="0"/>
        <w:pageBreakBefore w:val="0"/>
        <w:widowControl/>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2、国务院[2017]第682号国务院令《国务院关于修改〈建设项目环境保护管理条例〉的决定》</w:t>
      </w:r>
      <w:r>
        <w:rPr>
          <w:rFonts w:hint="eastAsia" w:ascii="Times New Roman" w:hAnsi="Times New Roman" w:cs="Times New Roman" w:eastAsiaTheme="minorEastAsia"/>
          <w:sz w:val="28"/>
          <w:szCs w:val="28"/>
          <w:lang w:val="en-US" w:eastAsia="zh-CN"/>
        </w:rPr>
        <w:t>。</w:t>
      </w:r>
    </w:p>
    <w:p>
      <w:pPr>
        <w:pStyle w:val="18"/>
        <w:keepNext w:val="0"/>
        <w:keepLines w:val="0"/>
        <w:pageBreakBefore w:val="0"/>
        <w:widowControl/>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3、环办[2015]113号《关于印发建设项目环境保护验收现场检查及审查要点的通知》</w:t>
      </w:r>
      <w:r>
        <w:rPr>
          <w:rFonts w:hint="eastAsia" w:ascii="Times New Roman" w:hAnsi="Times New Roman" w:cs="Times New Roman" w:eastAsiaTheme="minorEastAsia"/>
          <w:sz w:val="28"/>
          <w:szCs w:val="28"/>
          <w:lang w:val="en-US" w:eastAsia="zh-CN"/>
        </w:rPr>
        <w:t>。</w:t>
      </w:r>
    </w:p>
    <w:p>
      <w:pPr>
        <w:pStyle w:val="18"/>
        <w:keepNext w:val="0"/>
        <w:keepLines w:val="0"/>
        <w:pageBreakBefore w:val="0"/>
        <w:widowControl/>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eastAsia="zh-CN"/>
        </w:rPr>
        <w:t>《</w:t>
      </w:r>
      <w:r>
        <w:rPr>
          <w:rFonts w:hint="default" w:ascii="Times New Roman" w:hAnsi="Times New Roman" w:cs="Times New Roman" w:eastAsiaTheme="minorEastAsia"/>
          <w:sz w:val="28"/>
          <w:szCs w:val="28"/>
          <w:lang w:eastAsia="zh-CN"/>
        </w:rPr>
        <w:t>中国石化销售有限公司贵州黔西南贞丰城关加油站建设项目环境影响报告表</w:t>
      </w:r>
      <w:r>
        <w:rPr>
          <w:rFonts w:hint="eastAsia" w:ascii="Times New Roman" w:hAnsi="Times New Roman" w:cs="Times New Roman" w:eastAsiaTheme="minorEastAsia"/>
          <w:sz w:val="28"/>
          <w:szCs w:val="28"/>
          <w:lang w:eastAsia="zh-CN"/>
        </w:rPr>
        <w:t>》，贵州绿宏环保科技有限公司</w:t>
      </w:r>
      <w:r>
        <w:rPr>
          <w:rFonts w:hint="eastAsia" w:ascii="Times New Roman" w:hAnsi="Times New Roman" w:cs="Times New Roman" w:eastAsiaTheme="minorEastAsia"/>
          <w:sz w:val="28"/>
          <w:szCs w:val="28"/>
          <w:lang w:val="en-US" w:eastAsia="zh-CN"/>
        </w:rPr>
        <w:t>2018年1月。</w:t>
      </w:r>
    </w:p>
    <w:p>
      <w:pPr>
        <w:pStyle w:val="18"/>
        <w:keepNext w:val="0"/>
        <w:keepLines w:val="0"/>
        <w:pageBreakBefore w:val="0"/>
        <w:widowControl/>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5</w:t>
      </w:r>
      <w:r>
        <w:rPr>
          <w:rFonts w:hint="default" w:ascii="Times New Roman" w:hAnsi="Times New Roman" w:cs="Times New Roman" w:eastAsiaTheme="minorEastAsia"/>
          <w:sz w:val="28"/>
          <w:szCs w:val="28"/>
          <w:lang w:val="en-US" w:eastAsia="zh-CN"/>
        </w:rPr>
        <w:t>、贞丰县环境保护局关于对《中国石化销售有限公司贵州黔西南贞丰城关加油站建设项目环境影响报告表》贞环审核[2018]13号，2018年3月28日。</w:t>
      </w:r>
    </w:p>
    <w:p>
      <w:pPr>
        <w:pStyle w:val="18"/>
        <w:keepNext w:val="0"/>
        <w:keepLines w:val="0"/>
        <w:pageBreakBefore w:val="0"/>
        <w:widowControl/>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default"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val="en-US" w:eastAsia="zh-CN"/>
        </w:rPr>
        <w:t>6</w:t>
      </w:r>
      <w:r>
        <w:rPr>
          <w:rFonts w:hint="default" w:ascii="Times New Roman" w:hAnsi="Times New Roman" w:cs="Times New Roman" w:eastAsiaTheme="minorEastAsia"/>
          <w:sz w:val="28"/>
          <w:szCs w:val="28"/>
        </w:rPr>
        <w:t>、</w:t>
      </w:r>
      <w:r>
        <w:rPr>
          <w:rFonts w:hint="default" w:ascii="Times New Roman" w:hAnsi="Times New Roman" w:cs="Times New Roman" w:eastAsiaTheme="minorEastAsia"/>
          <w:sz w:val="28"/>
          <w:szCs w:val="28"/>
          <w:lang w:eastAsia="zh-CN"/>
        </w:rPr>
        <w:t>中国石化销售有限公司贵州黔西南</w:t>
      </w:r>
      <w:r>
        <w:rPr>
          <w:rFonts w:hint="eastAsia" w:ascii="Times New Roman" w:hAnsi="Times New Roman" w:cs="Times New Roman" w:eastAsiaTheme="minorEastAsia"/>
          <w:sz w:val="28"/>
          <w:szCs w:val="28"/>
          <w:lang w:eastAsia="zh-CN"/>
        </w:rPr>
        <w:t>贞丰城关加油站</w:t>
      </w:r>
      <w:r>
        <w:rPr>
          <w:rFonts w:hint="default" w:ascii="Times New Roman" w:hAnsi="Times New Roman" w:cs="Times New Roman" w:eastAsiaTheme="minorEastAsia"/>
          <w:sz w:val="28"/>
          <w:szCs w:val="28"/>
          <w:lang w:eastAsia="zh-CN"/>
        </w:rPr>
        <w:t>建设项目</w:t>
      </w:r>
      <w:r>
        <w:rPr>
          <w:rFonts w:hint="default" w:ascii="Times New Roman" w:hAnsi="Times New Roman" w:cs="Times New Roman" w:eastAsiaTheme="minorEastAsia"/>
          <w:sz w:val="28"/>
          <w:szCs w:val="28"/>
        </w:rPr>
        <w:t>竣工环境保护验收检测委托书</w:t>
      </w:r>
      <w:r>
        <w:rPr>
          <w:rFonts w:hint="default" w:ascii="Times New Roman" w:hAnsi="Times New Roman" w:cs="Times New Roman" w:eastAsiaTheme="minorEastAsia"/>
          <w:sz w:val="28"/>
          <w:szCs w:val="28"/>
          <w:lang w:eastAsia="zh-CN"/>
        </w:rPr>
        <w:t>。</w:t>
      </w:r>
    </w:p>
    <w:p>
      <w:pPr>
        <w:pStyle w:val="3"/>
        <w:rPr>
          <w:rFonts w:hint="default"/>
          <w:lang w:eastAsia="zh-CN"/>
        </w:rPr>
      </w:pPr>
      <w:bookmarkStart w:id="29" w:name="_Toc29542"/>
      <w:r>
        <w:rPr>
          <w:rFonts w:hint="default"/>
          <w:lang w:eastAsia="zh-CN"/>
        </w:rPr>
        <w:t>三、建设项目工程概况</w:t>
      </w:r>
      <w:bookmarkEnd w:id="27"/>
      <w:bookmarkEnd w:id="28"/>
      <w:bookmarkEnd w:id="29"/>
    </w:p>
    <w:p>
      <w:pPr>
        <w:pStyle w:val="4"/>
        <w:rPr>
          <w:rFonts w:hint="default" w:ascii="Times New Roman" w:hAnsi="Times New Roman" w:cs="Times New Roman"/>
        </w:rPr>
      </w:pPr>
      <w:bookmarkStart w:id="30" w:name="_Toc14932"/>
      <w:bookmarkStart w:id="31" w:name="_Toc9928"/>
      <w:bookmarkStart w:id="32" w:name="_Toc18116"/>
      <w:r>
        <w:rPr>
          <w:rFonts w:hint="default" w:ascii="Times New Roman" w:hAnsi="Times New Roman" w:cs="Times New Roman"/>
          <w:lang w:eastAsia="zh-CN"/>
        </w:rPr>
        <w:t>（一）</w:t>
      </w:r>
      <w:r>
        <w:rPr>
          <w:rFonts w:hint="default" w:ascii="Times New Roman" w:hAnsi="Times New Roman" w:cs="Times New Roman"/>
        </w:rPr>
        <w:t>工程简介</w:t>
      </w:r>
      <w:bookmarkEnd w:id="30"/>
    </w:p>
    <w:p>
      <w:pPr>
        <w:pStyle w:val="18"/>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中国石化销售有限公司贵州黔西南贞丰城关加油站位于黔西南州贞丰县珉谷镇解放路，总投资 200.00 万元。项目总用地面积约 6662.50平方米，其中罩棚面积 420.00 平方米，站房占地面积 165.00 平方米，绿化面积 250.00平方米，</w:t>
      </w:r>
      <w:r>
        <w:rPr>
          <w:rFonts w:hint="default" w:ascii="Times New Roman" w:hAnsi="Times New Roman" w:cs="Times New Roman" w:eastAsiaTheme="minorEastAsia"/>
          <w:sz w:val="28"/>
          <w:szCs w:val="28"/>
          <w:lang w:val="en-US" w:eastAsia="zh-CN"/>
        </w:rPr>
        <w:t>站内共有9名员工，上班实行两班倒轮休制，每天4~5人在站内食宿。</w:t>
      </w:r>
      <w:r>
        <w:rPr>
          <w:rFonts w:hint="default" w:ascii="Times New Roman" w:hAnsi="Times New Roman" w:cs="Times New Roman" w:eastAsiaTheme="minorEastAsia"/>
          <w:sz w:val="28"/>
          <w:szCs w:val="28"/>
          <w:lang w:eastAsia="zh-CN"/>
        </w:rPr>
        <w:t>主要建设内容包括油罐区、加油机、罩棚和站房等。</w:t>
      </w:r>
    </w:p>
    <w:p>
      <w:pPr>
        <w:pStyle w:val="18"/>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（1）油罐区域： 30 立方米汽油储罐 2 个，50 立方米的汽油罐 1 个，50 立方米的柴油罐 1 个，油罐总容积 135 立方米（柴油折半算）。</w:t>
      </w:r>
    </w:p>
    <w:p>
      <w:pPr>
        <w:pStyle w:val="18"/>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（2）加油机：共有6台加油机，汽油4台，柴油2台。</w:t>
      </w:r>
    </w:p>
    <w:p>
      <w:pPr>
        <w:pStyle w:val="18"/>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cs="Times New Roman"/>
          <w:kern w:val="2"/>
          <w:sz w:val="28"/>
          <w:szCs w:val="28"/>
          <w:lang w:val="en-US" w:eastAsia="zh-CN" w:bidi="ar-SA"/>
        </w:rPr>
      </w:pPr>
      <w:r>
        <w:rPr>
          <w:rFonts w:hint="default" w:ascii="Times New Roman" w:hAnsi="Times New Roman" w:cs="Times New Roman" w:eastAsiaTheme="minorEastAsia"/>
          <w:sz w:val="28"/>
          <w:szCs w:val="28"/>
          <w:lang w:val="en-US" w:eastAsia="zh-CN"/>
        </w:rPr>
        <w:t>（3）罩棚：钢架结构420m</w:t>
      </w:r>
      <w:r>
        <w:rPr>
          <w:rFonts w:hint="default" w:ascii="Times New Roman" w:hAnsi="Times New Roman" w:cs="Times New Roman" w:eastAsiaTheme="minorEastAsia"/>
          <w:sz w:val="28"/>
          <w:szCs w:val="28"/>
          <w:vertAlign w:val="superscript"/>
          <w:lang w:val="en-US" w:eastAsia="zh-CN"/>
        </w:rPr>
        <w:t>2</w:t>
      </w:r>
      <w:r>
        <w:rPr>
          <w:rFonts w:hint="default" w:ascii="Times New Roman" w:hAnsi="Times New Roman" w:cs="Times New Roman" w:eastAsiaTheme="minorEastAsia"/>
          <w:sz w:val="28"/>
          <w:szCs w:val="28"/>
          <w:lang w:val="en-US" w:eastAsia="zh-CN"/>
        </w:rPr>
        <w:t>。</w:t>
      </w:r>
    </w:p>
    <w:p>
      <w:pPr>
        <w:pStyle w:val="4"/>
        <w:rPr>
          <w:rFonts w:hint="default" w:ascii="Times New Roman" w:hAnsi="Times New Roman" w:cs="Times New Roman"/>
          <w:lang w:val="en-US" w:eastAsia="zh-CN"/>
        </w:rPr>
      </w:pPr>
      <w:bookmarkStart w:id="33" w:name="_Toc18325"/>
      <w:r>
        <w:rPr>
          <w:rFonts w:hint="default" w:ascii="Times New Roman" w:hAnsi="Times New Roman" w:cs="Times New Roman"/>
          <w:lang w:val="en-US" w:eastAsia="zh-CN"/>
        </w:rPr>
        <w:t>（二）加油工艺流程</w:t>
      </w:r>
      <w:bookmarkEnd w:id="33"/>
    </w:p>
    <w:p>
      <w:pPr>
        <w:pStyle w:val="18"/>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0"/>
        <w:rPr>
          <w:rFonts w:hint="default" w:ascii="Times New Roman" w:hAnsi="Times New Roman" w:cs="Times New Roman" w:eastAsiaTheme="minorEastAsia"/>
          <w:sz w:val="28"/>
          <w:szCs w:val="28"/>
          <w:lang w:val="en-US" w:eastAsia="zh-CN"/>
        </w:rPr>
      </w:pPr>
      <w:bookmarkStart w:id="34" w:name="_Toc3942"/>
      <w:bookmarkStart w:id="35" w:name="_Toc17037"/>
      <w:bookmarkStart w:id="36" w:name="_Toc9128"/>
      <w:bookmarkStart w:id="37" w:name="_Toc26735"/>
      <w:r>
        <w:rPr>
          <w:rFonts w:hint="default" w:ascii="Times New Roman" w:hAnsi="Times New Roman" w:cs="Times New Roman" w:eastAsiaTheme="minorEastAsia"/>
          <w:sz w:val="28"/>
          <w:szCs w:val="28"/>
          <w:lang w:val="en-US" w:eastAsia="zh-CN"/>
        </w:rPr>
        <w:t>本项目加油工序流程为：成品油罐车来油先通过卸油口卸到储油罐中，加油机本身自带的潜泵将油品由储油罐中吸到加油机中，经泵提升加压后给汽车加油，每个加油枪设单独管线吸油。其工艺流程及产污节点如图1。</w:t>
      </w:r>
      <w:bookmarkEnd w:id="34"/>
      <w:bookmarkEnd w:id="35"/>
      <w:bookmarkEnd w:id="36"/>
      <w:bookmarkEnd w:id="37"/>
    </w:p>
    <w:p>
      <w:pPr>
        <w:topLinePunct/>
        <w:snapToGrid w:val="0"/>
        <w:ind w:firstLine="480"/>
        <w:jc w:val="center"/>
        <w:rPr>
          <w:rFonts w:hint="default" w:ascii="Times New Roman" w:hAnsi="Times New Roman" w:cs="Times New Roman"/>
          <w:color w:val="000000"/>
          <w:lang w:val="en-US" w:eastAsia="zh-CN"/>
        </w:rPr>
      </w:pPr>
      <w:r>
        <w:rPr>
          <w:rFonts w:hint="default" w:ascii="Times New Roman" w:hAnsi="Times New Roman" w:cs="Times New Roman"/>
          <w:b/>
          <w:bCs/>
          <w:color w:val="auto"/>
          <w:sz w:val="21"/>
          <w:szCs w:val="21"/>
        </w:rPr>
        <w:drawing>
          <wp:inline distT="0" distB="0" distL="114300" distR="114300">
            <wp:extent cx="4364990" cy="1750695"/>
            <wp:effectExtent l="0" t="0" r="16510" b="1905"/>
            <wp:docPr id="5"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片1"/>
                    <pic:cNvPicPr>
                      <a:picLocks noChangeAspect="1"/>
                    </pic:cNvPicPr>
                  </pic:nvPicPr>
                  <pic:blipFill>
                    <a:blip r:embed="rId11"/>
                    <a:stretch>
                      <a:fillRect/>
                    </a:stretch>
                  </pic:blipFill>
                  <pic:spPr>
                    <a:xfrm>
                      <a:off x="0" y="0"/>
                      <a:ext cx="4364990" cy="1750695"/>
                    </a:xfrm>
                    <a:prstGeom prst="rect">
                      <a:avLst/>
                    </a:prstGeom>
                    <a:noFill/>
                    <a:ln w="9525">
                      <a:noFill/>
                    </a:ln>
                  </pic:spPr>
                </pic:pic>
              </a:graphicData>
            </a:graphic>
          </wp:inline>
        </w:drawing>
      </w:r>
    </w:p>
    <w:p>
      <w:pPr>
        <w:widowControl/>
        <w:tabs>
          <w:tab w:val="left" w:pos="5760"/>
        </w:tabs>
        <w:spacing w:line="360" w:lineRule="auto"/>
        <w:jc w:val="center"/>
        <w:rPr>
          <w:rFonts w:hint="default" w:ascii="Times New Roman" w:hAnsi="Times New Roman" w:cs="Times New Roman" w:eastAsiaTheme="minorEastAsia"/>
          <w:b/>
          <w:bCs/>
          <w:sz w:val="28"/>
          <w:szCs w:val="28"/>
          <w:lang w:val="en-US" w:eastAsia="zh-CN"/>
        </w:rPr>
      </w:pPr>
      <w:r>
        <w:rPr>
          <w:rFonts w:hint="default" w:ascii="Times New Roman" w:hAnsi="Times New Roman" w:eastAsia="宋体" w:cs="Times New Roman"/>
          <w:b/>
          <w:snapToGrid w:val="0"/>
          <w:kern w:val="0"/>
          <w:sz w:val="24"/>
          <w:szCs w:val="24"/>
          <w:lang w:eastAsia="zh-CN"/>
        </w:rPr>
        <w:t>图</w:t>
      </w:r>
      <w:r>
        <w:rPr>
          <w:rFonts w:hint="default" w:ascii="Times New Roman" w:hAnsi="Times New Roman" w:eastAsia="宋体" w:cs="Times New Roman"/>
          <w:b/>
          <w:snapToGrid w:val="0"/>
          <w:kern w:val="0"/>
          <w:sz w:val="24"/>
          <w:szCs w:val="24"/>
          <w:lang w:val="en-US" w:eastAsia="zh-CN"/>
        </w:rPr>
        <w:t xml:space="preserve">1 </w:t>
      </w:r>
      <w:r>
        <w:rPr>
          <w:rFonts w:hint="default" w:ascii="Times New Roman" w:hAnsi="Times New Roman" w:eastAsia="宋体" w:cs="Times New Roman"/>
          <w:b/>
          <w:snapToGrid w:val="0"/>
          <w:kern w:val="0"/>
          <w:sz w:val="24"/>
          <w:szCs w:val="24"/>
          <w:lang w:eastAsia="zh-CN"/>
        </w:rPr>
        <w:t>加油工艺流程和产污节点</w:t>
      </w:r>
      <w:r>
        <w:rPr>
          <w:rFonts w:hint="default" w:ascii="Times New Roman" w:hAnsi="Times New Roman" w:cs="Times New Roman" w:eastAsiaTheme="majorEastAsia"/>
          <w:b/>
          <w:snapToGrid w:val="0"/>
          <w:kern w:val="0"/>
          <w:sz w:val="24"/>
          <w:szCs w:val="24"/>
          <w:lang w:eastAsia="zh-CN"/>
        </w:rPr>
        <w:t>图</w:t>
      </w:r>
    </w:p>
    <w:p>
      <w:pPr>
        <w:pStyle w:val="4"/>
        <w:rPr>
          <w:rFonts w:hint="default" w:ascii="Times New Roman" w:hAnsi="Times New Roman" w:cs="Times New Roman"/>
          <w:lang w:val="en-US" w:eastAsia="zh-CN"/>
        </w:rPr>
      </w:pPr>
      <w:bookmarkStart w:id="38" w:name="_Toc26664"/>
      <w:r>
        <w:rPr>
          <w:rFonts w:hint="default" w:ascii="Times New Roman" w:hAnsi="Times New Roman" w:cs="Times New Roman"/>
          <w:lang w:val="en-US" w:eastAsia="zh-CN"/>
        </w:rPr>
        <w:t>（三）主要污染物及防治措施</w:t>
      </w:r>
      <w:bookmarkEnd w:id="38"/>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（1）废水</w:t>
      </w:r>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营运期间，加油站每天共有4~5名员工食宿，产生的少量生活废水排入预先修建的化粪池处理，地面冲洗废水经油水分离池处理后，清水排放至城市污水管网。</w:t>
      </w:r>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（2）废气</w:t>
      </w:r>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非甲烷总烃：加强日常管理和设备维修，及时检修、减少和防止跑冒滴漏和事故性排放、安装油气回收装置；</w:t>
      </w:r>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（3）噪声污染物治理措施</w:t>
      </w:r>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选用低噪型设备，噪声设备应设隔振基础或铺垫减振垫，进站车辆禁止鸣笛。</w:t>
      </w:r>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（4）固体废物治理措施</w:t>
      </w:r>
    </w:p>
    <w:p>
      <w:pPr>
        <w:pStyle w:val="23"/>
        <w:numPr>
          <w:ilvl w:val="0"/>
          <w:numId w:val="0"/>
        </w:numPr>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本项目固体废物主要为工作人员的生活垃圾和油泥，其污染治理措施为：</w:t>
      </w:r>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①生活垃圾</w:t>
      </w:r>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生活垃圾集中收集，交于环卫部门统一处置</w:t>
      </w:r>
      <w:r>
        <w:rPr>
          <w:rFonts w:hint="eastAsia" w:ascii="Times New Roman" w:hAnsi="Times New Roman" w:cs="Times New Roman" w:eastAsiaTheme="minorEastAsia"/>
          <w:bCs/>
          <w:snapToGrid w:val="0"/>
          <w:kern w:val="0"/>
          <w:sz w:val="28"/>
          <w:szCs w:val="28"/>
          <w:lang w:val="en-US" w:eastAsia="zh-CN" w:bidi="ar-SA"/>
        </w:rPr>
        <w:t>。</w:t>
      </w:r>
    </w:p>
    <w:p>
      <w:pPr>
        <w:pStyle w:val="23"/>
        <w:numPr>
          <w:ilvl w:val="0"/>
          <w:numId w:val="0"/>
        </w:numPr>
        <w:ind w:leftChars="200"/>
        <w:rPr>
          <w:rFonts w:hint="default" w:ascii="Times New Roman" w:hAnsi="Times New Roman" w:cs="Times New Roman" w:eastAsiaTheme="minorEastAsia"/>
          <w:bCs/>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②油水分离池污泥和上层浮油渣</w:t>
      </w:r>
    </w:p>
    <w:p>
      <w:pPr>
        <w:pStyle w:val="23"/>
        <w:numPr>
          <w:ilvl w:val="0"/>
          <w:numId w:val="0"/>
        </w:numPr>
        <w:ind w:firstLine="560" w:firstLineChars="200"/>
        <w:rPr>
          <w:rFonts w:hint="default" w:ascii="Times New Roman" w:hAnsi="Times New Roman" w:cs="Times New Roman" w:eastAsiaTheme="minorEastAsia"/>
          <w:b w:val="0"/>
          <w:bCs w:val="0"/>
          <w:snapToGrid w:val="0"/>
          <w:kern w:val="0"/>
          <w:sz w:val="28"/>
          <w:szCs w:val="28"/>
          <w:lang w:val="en-US" w:eastAsia="zh-CN" w:bidi="ar-SA"/>
        </w:rPr>
      </w:pPr>
      <w:r>
        <w:rPr>
          <w:rFonts w:hint="default" w:ascii="Times New Roman" w:hAnsi="Times New Roman" w:cs="Times New Roman" w:eastAsiaTheme="minorEastAsia"/>
          <w:bCs/>
          <w:snapToGrid w:val="0"/>
          <w:kern w:val="0"/>
          <w:sz w:val="28"/>
          <w:szCs w:val="28"/>
          <w:lang w:val="en-US" w:eastAsia="zh-CN" w:bidi="ar-SA"/>
        </w:rPr>
        <w:t>油水分离池污泥和上层浮油渣、油罐油泥、油渣，交由有危废处理资质的单位处理。</w:t>
      </w:r>
    </w:p>
    <w:bookmarkEnd w:id="31"/>
    <w:bookmarkEnd w:id="32"/>
    <w:p>
      <w:pPr>
        <w:pStyle w:val="3"/>
        <w:rPr>
          <w:rFonts w:hint="default" w:ascii="Times New Roman" w:hAnsi="Times New Roman" w:cs="Times New Roman"/>
        </w:rPr>
      </w:pPr>
      <w:bookmarkStart w:id="39" w:name="_Toc4205"/>
      <w:r>
        <w:rPr>
          <w:rFonts w:hint="default" w:ascii="Times New Roman" w:hAnsi="Times New Roman" w:cs="Times New Roman"/>
        </w:rPr>
        <w:t>四、环评批复意见</w:t>
      </w:r>
      <w:bookmarkEnd w:id="39"/>
      <w:bookmarkStart w:id="40" w:name="_Toc356397073"/>
      <w:bookmarkStart w:id="41" w:name="_Toc345592135"/>
      <w:bookmarkStart w:id="42" w:name="_Toc391848669"/>
      <w:bookmarkStart w:id="43" w:name="_Toc31130"/>
      <w:bookmarkStart w:id="44" w:name="_Toc24173"/>
      <w:bookmarkStart w:id="45" w:name="_Toc458776029"/>
    </w:p>
    <w:bookmarkEnd w:id="40"/>
    <w:bookmarkEnd w:id="41"/>
    <w:bookmarkEnd w:id="42"/>
    <w:bookmarkEnd w:id="43"/>
    <w:bookmarkEnd w:id="44"/>
    <w:bookmarkEnd w:id="45"/>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cs="Times New Roman" w:eastAsiaTheme="minorEastAsia"/>
          <w:sz w:val="28"/>
          <w:szCs w:val="28"/>
          <w:lang w:eastAsia="zh-CN"/>
        </w:rPr>
      </w:pPr>
      <w:bookmarkStart w:id="46" w:name="_Toc356397088"/>
      <w:bookmarkStart w:id="47" w:name="_Toc30452"/>
      <w:bookmarkStart w:id="48" w:name="_Toc391848677"/>
      <w:bookmarkStart w:id="49" w:name="_Toc20146"/>
      <w:bookmarkStart w:id="50" w:name="_Toc24721"/>
      <w:r>
        <w:rPr>
          <w:rFonts w:hint="default" w:ascii="Times New Roman" w:hAnsi="Times New Roman" w:cs="Times New Roman" w:eastAsiaTheme="minorEastAsia"/>
          <w:sz w:val="28"/>
          <w:szCs w:val="28"/>
          <w:lang w:eastAsia="zh-CN"/>
        </w:rPr>
        <w:t>贞丰县环境保护局关于对</w:t>
      </w:r>
      <w:r>
        <w:rPr>
          <w:rFonts w:hint="default" w:ascii="Times New Roman" w:hAnsi="Times New Roman" w:cs="Times New Roman" w:eastAsiaTheme="minorEastAsia"/>
          <w:sz w:val="28"/>
          <w:szCs w:val="28"/>
          <w:lang w:val="en-US" w:eastAsia="zh-CN"/>
        </w:rPr>
        <w:t>《中国石化销售有限公司贵州黔西南贞丰城关加油站建设项目环境影响报告表》贞环审核[2018]13号，2018年3月28日。</w:t>
      </w:r>
      <w:r>
        <w:rPr>
          <w:rFonts w:hint="default" w:ascii="Times New Roman" w:hAnsi="Times New Roman" w:cs="Times New Roman" w:eastAsiaTheme="minorEastAsia"/>
          <w:sz w:val="28"/>
          <w:szCs w:val="28"/>
          <w:lang w:eastAsia="zh-CN"/>
        </w:rPr>
        <w:t>（见附件）</w:t>
      </w:r>
      <w:bookmarkEnd w:id="46"/>
      <w:bookmarkEnd w:id="47"/>
      <w:bookmarkEnd w:id="48"/>
    </w:p>
    <w:p>
      <w:pPr>
        <w:pStyle w:val="3"/>
        <w:rPr>
          <w:rFonts w:hint="default"/>
          <w:lang w:eastAsia="zh-CN"/>
        </w:rPr>
      </w:pPr>
      <w:bookmarkStart w:id="51" w:name="_Toc30318"/>
      <w:r>
        <w:rPr>
          <w:rFonts w:hint="default"/>
          <w:lang w:eastAsia="zh-CN"/>
        </w:rPr>
        <w:t>五、验收评价标准</w:t>
      </w:r>
      <w:bookmarkEnd w:id="49"/>
      <w:bookmarkEnd w:id="50"/>
      <w:bookmarkEnd w:id="51"/>
      <w:bookmarkStart w:id="52" w:name="_Toc26015"/>
      <w:bookmarkStart w:id="53" w:name="_Toc26865"/>
    </w:p>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16" w:firstLineChars="200"/>
        <w:jc w:val="both"/>
        <w:textAlignment w:val="auto"/>
        <w:outlineLvl w:val="9"/>
        <w:rPr>
          <w:rFonts w:hint="default" w:ascii="Times New Roman" w:hAnsi="Times New Roman" w:cs="Times New Roman" w:eastAsiaTheme="minorEastAsia"/>
          <w:spacing w:val="-11"/>
          <w:kern w:val="0"/>
          <w:sz w:val="28"/>
          <w:szCs w:val="28"/>
          <w:lang w:val="en-US" w:eastAsia="zh-CN" w:bidi="ar-SA"/>
        </w:rPr>
      </w:pPr>
      <w:r>
        <w:rPr>
          <w:rFonts w:hint="default" w:ascii="Times New Roman" w:hAnsi="Times New Roman" w:cs="Times New Roman" w:eastAsiaTheme="minorEastAsia"/>
          <w:spacing w:val="-11"/>
          <w:kern w:val="0"/>
          <w:sz w:val="28"/>
          <w:szCs w:val="28"/>
          <w:lang w:val="en-US" w:eastAsia="zh-CN" w:bidi="ar-SA"/>
        </w:rPr>
        <w:t>1、《大气污染物综合排放标准》（GB16297-1996）二级标准限值见表</w:t>
      </w:r>
      <w:bookmarkStart w:id="54" w:name="_Ref344982864"/>
      <w:r>
        <w:rPr>
          <w:rFonts w:hint="default" w:ascii="Times New Roman" w:hAnsi="Times New Roman" w:cs="Times New Roman" w:eastAsiaTheme="minorEastAsia"/>
          <w:spacing w:val="-11"/>
          <w:kern w:val="0"/>
          <w:sz w:val="28"/>
          <w:szCs w:val="28"/>
          <w:lang w:val="en-US" w:eastAsia="zh-CN" w:bidi="ar-SA"/>
        </w:rPr>
        <w:t>1。</w:t>
      </w:r>
    </w:p>
    <w:bookmarkEnd w:id="54"/>
    <w:p>
      <w:pPr>
        <w:widowControl/>
        <w:tabs>
          <w:tab w:val="left" w:pos="5760"/>
        </w:tabs>
        <w:spacing w:line="360" w:lineRule="auto"/>
        <w:jc w:val="center"/>
        <w:rPr>
          <w:rFonts w:hint="default" w:ascii="Times New Roman" w:hAnsi="Times New Roman" w:cs="Times New Roman" w:eastAsiaTheme="majorEastAsia"/>
          <w:b/>
          <w:snapToGrid w:val="0"/>
          <w:kern w:val="0"/>
          <w:sz w:val="28"/>
          <w:szCs w:val="28"/>
          <w:lang w:eastAsia="zh-CN"/>
        </w:rPr>
      </w:pPr>
      <w:r>
        <w:rPr>
          <w:rFonts w:hint="default" w:ascii="Times New Roman" w:hAnsi="Times New Roman" w:cs="Times New Roman" w:eastAsiaTheme="majorEastAsia"/>
          <w:b/>
          <w:snapToGrid w:val="0"/>
          <w:kern w:val="0"/>
          <w:sz w:val="28"/>
          <w:szCs w:val="28"/>
          <w:lang w:eastAsia="zh-CN"/>
        </w:rPr>
        <w:t>表1 新污染源大气污染物排放限值</w:t>
      </w:r>
    </w:p>
    <w:tbl>
      <w:tblPr>
        <w:tblStyle w:val="16"/>
        <w:tblW w:w="8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2"/>
        <w:gridCol w:w="2575"/>
        <w:gridCol w:w="3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61" w:hRule="exact"/>
          <w:jc w:val="center"/>
        </w:trPr>
        <w:tc>
          <w:tcPr>
            <w:tcW w:w="2262" w:type="dxa"/>
            <w:vMerge w:val="restart"/>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污染物</w:t>
            </w:r>
          </w:p>
        </w:tc>
        <w:tc>
          <w:tcPr>
            <w:tcW w:w="6418" w:type="dxa"/>
            <w:gridSpan w:val="2"/>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71" w:hRule="exact"/>
          <w:jc w:val="center"/>
        </w:trPr>
        <w:tc>
          <w:tcPr>
            <w:tcW w:w="2262" w:type="dxa"/>
            <w:vMerge w:val="continue"/>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2575"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监控点</w:t>
            </w:r>
          </w:p>
        </w:tc>
        <w:tc>
          <w:tcPr>
            <w:tcW w:w="3843"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浓度(mg/m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63" w:hRule="exact"/>
          <w:jc w:val="center"/>
        </w:trPr>
        <w:tc>
          <w:tcPr>
            <w:tcW w:w="2262"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非甲烷总烃</w:t>
            </w:r>
          </w:p>
        </w:tc>
        <w:tc>
          <w:tcPr>
            <w:tcW w:w="2575"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周界外浓度最高点</w:t>
            </w:r>
          </w:p>
        </w:tc>
        <w:tc>
          <w:tcPr>
            <w:tcW w:w="3843"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w:t>
            </w:r>
          </w:p>
        </w:tc>
      </w:tr>
    </w:tbl>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ind w:left="0" w:leftChars="0" w:right="0" w:rightChars="0" w:firstLine="560" w:firstLineChars="200"/>
        <w:jc w:val="left"/>
        <w:textAlignment w:val="auto"/>
        <w:outlineLvl w:val="9"/>
        <w:rPr>
          <w:rFonts w:hint="default" w:ascii="Times New Roman" w:hAnsi="Times New Roman" w:cs="Times New Roman" w:eastAsiaTheme="minorEastAsia"/>
          <w:color w:val="000000"/>
          <w:kern w:val="0"/>
          <w:sz w:val="28"/>
          <w:szCs w:val="28"/>
          <w:lang w:val="en-US" w:eastAsia="zh-CN" w:bidi="ar-SA"/>
        </w:rPr>
      </w:pPr>
      <w:r>
        <w:rPr>
          <w:rFonts w:hint="default" w:ascii="Times New Roman" w:hAnsi="Times New Roman" w:cs="Times New Roman" w:eastAsiaTheme="minorEastAsia"/>
          <w:color w:val="000000"/>
          <w:kern w:val="0"/>
          <w:sz w:val="28"/>
          <w:szCs w:val="28"/>
          <w:lang w:val="en-US" w:eastAsia="zh-CN" w:bidi="ar-SA"/>
        </w:rPr>
        <w:t>《污水综合排放标准》（GB8978-1996）中的三级排放标准限值见表2</w:t>
      </w:r>
      <w:r>
        <w:rPr>
          <w:rFonts w:hint="eastAsia" w:cs="Times New Roman" w:eastAsiaTheme="minorEastAsia"/>
          <w:color w:val="000000"/>
          <w:kern w:val="0"/>
          <w:sz w:val="28"/>
          <w:szCs w:val="28"/>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40" w:leftChars="200" w:right="0" w:rightChars="0" w:firstLine="0" w:firstLineChars="0"/>
        <w:jc w:val="center"/>
        <w:textAlignment w:val="auto"/>
        <w:outlineLvl w:val="9"/>
        <w:rPr>
          <w:rFonts w:hint="default" w:ascii="Times New Roman" w:hAnsi="Times New Roman" w:eastAsia="宋体" w:cs="Times New Roman"/>
          <w:b/>
          <w:bCs/>
          <w:color w:val="auto"/>
          <w:sz w:val="28"/>
          <w:szCs w:val="28"/>
        </w:rPr>
      </w:pPr>
      <w:r>
        <w:rPr>
          <w:rFonts w:hint="default" w:ascii="Times New Roman" w:hAnsi="Times New Roman" w:cs="Times New Roman" w:eastAsiaTheme="minorEastAsia"/>
          <w:b/>
          <w:bCs/>
          <w:color w:val="auto"/>
          <w:sz w:val="28"/>
          <w:szCs w:val="28"/>
        </w:rPr>
        <w:t>表</w:t>
      </w:r>
      <w:r>
        <w:rPr>
          <w:rFonts w:hint="default" w:ascii="Times New Roman" w:hAnsi="Times New Roman" w:cs="Times New Roman" w:eastAsiaTheme="minorEastAsia"/>
          <w:b/>
          <w:bCs/>
          <w:color w:val="auto"/>
          <w:sz w:val="28"/>
          <w:szCs w:val="28"/>
          <w:lang w:val="en-US" w:eastAsia="zh-CN"/>
        </w:rPr>
        <w:t>2</w:t>
      </w:r>
      <w:r>
        <w:rPr>
          <w:rFonts w:hint="default" w:ascii="Times New Roman" w:hAnsi="Times New Roman" w:cs="Times New Roman" w:eastAsiaTheme="minorEastAsia"/>
          <w:b/>
          <w:bCs/>
          <w:color w:val="auto"/>
          <w:sz w:val="28"/>
          <w:szCs w:val="28"/>
        </w:rPr>
        <w:t xml:space="preserve"> 污水综合排放标准</w:t>
      </w:r>
    </w:p>
    <w:tbl>
      <w:tblPr>
        <w:tblStyle w:val="17"/>
        <w:tblW w:w="9060"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3134"/>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exact"/>
        </w:trPr>
        <w:tc>
          <w:tcPr>
            <w:tcW w:w="2978" w:type="dxa"/>
            <w:vAlign w:val="center"/>
          </w:tcPr>
          <w:p>
            <w:pPr>
              <w:pStyle w:val="21"/>
              <w:spacing w:line="360" w:lineRule="auto"/>
              <w:ind w:firstLine="0" w:firstLineChars="0"/>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rPr>
              <w:t>评价因子</w:t>
            </w:r>
          </w:p>
        </w:tc>
        <w:tc>
          <w:tcPr>
            <w:tcW w:w="3134" w:type="dxa"/>
            <w:vAlign w:val="center"/>
          </w:tcPr>
          <w:p>
            <w:pPr>
              <w:pStyle w:val="21"/>
              <w:spacing w:line="360" w:lineRule="auto"/>
              <w:ind w:firstLine="0" w:firstLineChars="0"/>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rPr>
              <w:t>标准限值</w:t>
            </w:r>
          </w:p>
        </w:tc>
        <w:tc>
          <w:tcPr>
            <w:tcW w:w="2948" w:type="dxa"/>
            <w:vAlign w:val="center"/>
          </w:tcPr>
          <w:p>
            <w:pPr>
              <w:pStyle w:val="21"/>
              <w:spacing w:line="360" w:lineRule="auto"/>
              <w:ind w:firstLine="0" w:firstLineChars="0"/>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exact"/>
        </w:trPr>
        <w:tc>
          <w:tcPr>
            <w:tcW w:w="2978" w:type="dxa"/>
            <w:vAlign w:val="center"/>
          </w:tcPr>
          <w:p>
            <w:pPr>
              <w:pStyle w:val="21"/>
              <w:spacing w:line="360" w:lineRule="auto"/>
              <w:ind w:firstLine="0" w:firstLineChars="0"/>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rPr>
              <w:t>pH</w:t>
            </w:r>
          </w:p>
        </w:tc>
        <w:tc>
          <w:tcPr>
            <w:tcW w:w="3134" w:type="dxa"/>
            <w:vAlign w:val="center"/>
          </w:tcPr>
          <w:p>
            <w:pPr>
              <w:pStyle w:val="21"/>
              <w:spacing w:line="360" w:lineRule="auto"/>
              <w:ind w:firstLine="0" w:firstLineChars="0"/>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rPr>
              <w:t>6～9</w:t>
            </w:r>
          </w:p>
        </w:tc>
        <w:tc>
          <w:tcPr>
            <w:tcW w:w="2948" w:type="dxa"/>
            <w:vAlign w:val="center"/>
          </w:tcPr>
          <w:p>
            <w:pPr>
              <w:pStyle w:val="21"/>
              <w:spacing w:line="360" w:lineRule="auto"/>
              <w:ind w:firstLine="0" w:firstLineChars="0"/>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exact"/>
        </w:trPr>
        <w:tc>
          <w:tcPr>
            <w:tcW w:w="2978" w:type="dxa"/>
            <w:vAlign w:val="center"/>
          </w:tcPr>
          <w:p>
            <w:pPr>
              <w:pStyle w:val="21"/>
              <w:spacing w:line="360" w:lineRule="auto"/>
              <w:ind w:firstLine="0" w:firstLineChars="0"/>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rPr>
              <w:t>COD</w:t>
            </w:r>
            <w:r>
              <w:rPr>
                <w:rFonts w:hint="default" w:ascii="Times New Roman" w:hAnsi="Times New Roman" w:cs="Times New Roman" w:eastAsiaTheme="minorEastAsia"/>
                <w:color w:val="auto"/>
                <w:sz w:val="21"/>
                <w:szCs w:val="21"/>
                <w:vertAlign w:val="subscript"/>
              </w:rPr>
              <w:t>Cr</w:t>
            </w:r>
          </w:p>
        </w:tc>
        <w:tc>
          <w:tcPr>
            <w:tcW w:w="3134" w:type="dxa"/>
            <w:vAlign w:val="center"/>
          </w:tcPr>
          <w:p>
            <w:pPr>
              <w:pStyle w:val="21"/>
              <w:spacing w:line="360" w:lineRule="auto"/>
              <w:ind w:firstLine="0" w:firstLineChars="0"/>
              <w:jc w:val="center"/>
              <w:rPr>
                <w:rFonts w:hint="default"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color w:val="auto"/>
                <w:sz w:val="21"/>
                <w:szCs w:val="21"/>
                <w:lang w:val="en-US" w:eastAsia="zh-CN"/>
              </w:rPr>
              <w:t>500</w:t>
            </w:r>
          </w:p>
        </w:tc>
        <w:tc>
          <w:tcPr>
            <w:tcW w:w="2948" w:type="dxa"/>
            <w:vMerge w:val="restart"/>
            <w:vAlign w:val="center"/>
          </w:tcPr>
          <w:p>
            <w:pPr>
              <w:numPr>
                <w:ilvl w:val="0"/>
                <w:numId w:val="0"/>
              </w:numPr>
              <w:spacing w:line="36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exact"/>
        </w:trPr>
        <w:tc>
          <w:tcPr>
            <w:tcW w:w="2978"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BOD</w:t>
            </w:r>
            <w:r>
              <w:rPr>
                <w:rFonts w:hint="eastAsia" w:ascii="Times New Roman" w:hAnsi="Times New Roman" w:cs="Times New Roman" w:eastAsiaTheme="minorEastAsia"/>
                <w:color w:val="auto"/>
                <w:sz w:val="21"/>
                <w:szCs w:val="21"/>
                <w:vertAlign w:val="subscript"/>
                <w:lang w:val="en-US" w:eastAsia="zh-CN"/>
              </w:rPr>
              <w:t>5</w:t>
            </w:r>
          </w:p>
        </w:tc>
        <w:tc>
          <w:tcPr>
            <w:tcW w:w="3134" w:type="dxa"/>
            <w:vAlign w:val="center"/>
          </w:tcPr>
          <w:p>
            <w:pPr>
              <w:pStyle w:val="21"/>
              <w:spacing w:line="36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300</w:t>
            </w:r>
          </w:p>
        </w:tc>
        <w:tc>
          <w:tcPr>
            <w:tcW w:w="2948" w:type="dxa"/>
            <w:vMerge w:val="continue"/>
            <w:vAlign w:val="center"/>
          </w:tcPr>
          <w:p>
            <w:pPr>
              <w:numPr>
                <w:ilvl w:val="0"/>
                <w:numId w:val="0"/>
              </w:numPr>
              <w:spacing w:line="360" w:lineRule="auto"/>
              <w:jc w:val="center"/>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exact"/>
        </w:trPr>
        <w:tc>
          <w:tcPr>
            <w:tcW w:w="2978"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SS</w:t>
            </w:r>
          </w:p>
        </w:tc>
        <w:tc>
          <w:tcPr>
            <w:tcW w:w="3134"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400</w:t>
            </w:r>
          </w:p>
        </w:tc>
        <w:tc>
          <w:tcPr>
            <w:tcW w:w="2948" w:type="dxa"/>
            <w:vMerge w:val="continue"/>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exact"/>
        </w:trPr>
        <w:tc>
          <w:tcPr>
            <w:tcW w:w="2978"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氨氮</w:t>
            </w:r>
          </w:p>
        </w:tc>
        <w:tc>
          <w:tcPr>
            <w:tcW w:w="3134"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c>
          <w:tcPr>
            <w:tcW w:w="2948" w:type="dxa"/>
            <w:vMerge w:val="continue"/>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exact"/>
        </w:trPr>
        <w:tc>
          <w:tcPr>
            <w:tcW w:w="2978"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石油类</w:t>
            </w:r>
          </w:p>
        </w:tc>
        <w:tc>
          <w:tcPr>
            <w:tcW w:w="3134"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w:t>
            </w:r>
          </w:p>
        </w:tc>
        <w:tc>
          <w:tcPr>
            <w:tcW w:w="2948" w:type="dxa"/>
            <w:vMerge w:val="continue"/>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exact"/>
        </w:trPr>
        <w:tc>
          <w:tcPr>
            <w:tcW w:w="2978" w:type="dxa"/>
            <w:vAlign w:val="center"/>
          </w:tcPr>
          <w:p>
            <w:pPr>
              <w:pStyle w:val="21"/>
              <w:spacing w:line="36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动植物油</w:t>
            </w:r>
          </w:p>
        </w:tc>
        <w:tc>
          <w:tcPr>
            <w:tcW w:w="3134" w:type="dxa"/>
            <w:vAlign w:val="center"/>
          </w:tcPr>
          <w:p>
            <w:pPr>
              <w:pStyle w:val="21"/>
              <w:spacing w:line="36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100</w:t>
            </w:r>
          </w:p>
        </w:tc>
        <w:tc>
          <w:tcPr>
            <w:tcW w:w="2948" w:type="dxa"/>
            <w:vMerge w:val="continue"/>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lang w:val="en-US" w:eastAsia="zh-CN"/>
              </w:rPr>
            </w:pPr>
          </w:p>
        </w:tc>
      </w:tr>
    </w:tbl>
    <w:p>
      <w:pPr>
        <w:pStyle w:val="21"/>
        <w:spacing w:line="360" w:lineRule="auto"/>
        <w:ind w:firstLine="0" w:firstLineChars="0"/>
        <w:jc w:val="center"/>
        <w:rPr>
          <w:rFonts w:hint="default" w:ascii="Times New Roman" w:hAnsi="Times New Roman" w:eastAsia="宋体" w:cs="Times New Roman"/>
          <w:snapToGrid w:val="0"/>
          <w:color w:val="auto"/>
          <w:spacing w:val="-6"/>
          <w:kern w:val="0"/>
          <w:sz w:val="28"/>
          <w:szCs w:val="28"/>
          <w:lang w:val="en-US" w:eastAsia="zh-CN" w:bidi="ar-SA"/>
        </w:rPr>
      </w:pPr>
      <w:r>
        <w:rPr>
          <w:rFonts w:hint="default" w:ascii="Times New Roman" w:hAnsi="Times New Roman" w:cs="Times New Roman" w:eastAsiaTheme="minorEastAsia"/>
          <w:color w:val="auto"/>
          <w:sz w:val="21"/>
          <w:szCs w:val="21"/>
          <w:lang w:val="en-US" w:eastAsia="zh-CN"/>
        </w:rPr>
        <w:t>《工业企业厂界环境噪声排放</w:t>
      </w:r>
      <w:r>
        <w:rPr>
          <w:rFonts w:hint="default" w:ascii="Times New Roman" w:hAnsi="Times New Roman" w:eastAsia="宋体" w:cs="Times New Roman"/>
          <w:snapToGrid w:val="0"/>
          <w:color w:val="auto"/>
          <w:spacing w:val="-6"/>
          <w:kern w:val="0"/>
          <w:sz w:val="28"/>
          <w:szCs w:val="28"/>
          <w:lang w:val="en-US" w:eastAsia="zh-CN" w:bidi="ar-SA"/>
        </w:rPr>
        <w:t>标准》(GB12348-2008)2类限值见表3。</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right="0" w:rightChars="0"/>
        <w:jc w:val="center"/>
        <w:textAlignment w:val="auto"/>
        <w:outlineLvl w:val="9"/>
        <w:rPr>
          <w:rFonts w:hint="default" w:ascii="Times New Roman" w:hAnsi="Times New Roman" w:cs="Times New Roman" w:eastAsiaTheme="minorEastAsia"/>
          <w:b/>
          <w:bCs/>
          <w:color w:val="auto"/>
          <w:spacing w:val="-6"/>
          <w:sz w:val="28"/>
          <w:szCs w:val="28"/>
        </w:rPr>
      </w:pPr>
      <w:r>
        <w:rPr>
          <w:rFonts w:hint="default" w:ascii="Times New Roman" w:hAnsi="Times New Roman" w:cs="Times New Roman" w:eastAsiaTheme="minorEastAsia"/>
          <w:b/>
          <w:bCs/>
          <w:color w:val="auto"/>
          <w:spacing w:val="-6"/>
          <w:sz w:val="28"/>
          <w:szCs w:val="28"/>
        </w:rPr>
        <w:t>表</w:t>
      </w:r>
      <w:r>
        <w:rPr>
          <w:rFonts w:hint="default" w:ascii="Times New Roman" w:hAnsi="Times New Roman" w:cs="Times New Roman" w:eastAsiaTheme="minorEastAsia"/>
          <w:b/>
          <w:bCs/>
          <w:color w:val="auto"/>
          <w:spacing w:val="-6"/>
          <w:sz w:val="28"/>
          <w:szCs w:val="28"/>
          <w:lang w:val="en-US" w:eastAsia="zh-CN"/>
        </w:rPr>
        <w:t>3</w:t>
      </w:r>
      <w:r>
        <w:rPr>
          <w:rFonts w:hint="default" w:ascii="Times New Roman" w:hAnsi="Times New Roman" w:cs="Times New Roman" w:eastAsiaTheme="minorEastAsia"/>
          <w:b/>
          <w:bCs/>
          <w:color w:val="auto"/>
          <w:spacing w:val="-6"/>
          <w:sz w:val="28"/>
          <w:szCs w:val="28"/>
        </w:rPr>
        <w:t>工业企业厂界环境噪声排放标准</w:t>
      </w:r>
      <w:r>
        <w:rPr>
          <w:rFonts w:hint="default" w:ascii="Times New Roman" w:hAnsi="Times New Roman" w:cs="Times New Roman" w:eastAsiaTheme="minorEastAsia"/>
          <w:b/>
          <w:bCs/>
          <w:color w:val="auto"/>
          <w:spacing w:val="-6"/>
          <w:sz w:val="28"/>
          <w:szCs w:val="28"/>
          <w:lang w:val="en-US" w:eastAsia="zh-CN"/>
        </w:rPr>
        <w:t xml:space="preserve">     </w:t>
      </w:r>
      <w:r>
        <w:rPr>
          <w:rFonts w:hint="default" w:ascii="Times New Roman" w:hAnsi="Times New Roman" w:cs="Times New Roman" w:eastAsiaTheme="minorEastAsia"/>
          <w:b/>
          <w:bCs/>
          <w:color w:val="auto"/>
          <w:spacing w:val="-6"/>
          <w:sz w:val="22"/>
          <w:szCs w:val="22"/>
        </w:rPr>
        <w:t>等效连续A声级Leq：dB(A)</w:t>
      </w:r>
    </w:p>
    <w:tbl>
      <w:tblPr>
        <w:tblStyle w:val="16"/>
        <w:tblW w:w="8700" w:type="dxa"/>
        <w:jc w:val="center"/>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7"/>
        <w:gridCol w:w="2816"/>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exact"/>
          <w:jc w:val="center"/>
        </w:trPr>
        <w:tc>
          <w:tcPr>
            <w:tcW w:w="3257" w:type="dxa"/>
            <w:vMerge w:val="restart"/>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类别</w:t>
            </w:r>
          </w:p>
        </w:tc>
        <w:tc>
          <w:tcPr>
            <w:tcW w:w="5443" w:type="dxa"/>
            <w:gridSpan w:val="2"/>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exact"/>
          <w:jc w:val="center"/>
        </w:trPr>
        <w:tc>
          <w:tcPr>
            <w:tcW w:w="3257" w:type="dxa"/>
            <w:vMerge w:val="continue"/>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rPr>
            </w:pPr>
          </w:p>
        </w:tc>
        <w:tc>
          <w:tcPr>
            <w:tcW w:w="2816"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昼间</w:t>
            </w:r>
          </w:p>
        </w:tc>
        <w:tc>
          <w:tcPr>
            <w:tcW w:w="2627"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exact"/>
          <w:jc w:val="center"/>
        </w:trPr>
        <w:tc>
          <w:tcPr>
            <w:tcW w:w="3257"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2类</w:t>
            </w:r>
          </w:p>
        </w:tc>
        <w:tc>
          <w:tcPr>
            <w:tcW w:w="2816"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60</w:t>
            </w:r>
          </w:p>
        </w:tc>
        <w:tc>
          <w:tcPr>
            <w:tcW w:w="2627" w:type="dxa"/>
            <w:vAlign w:val="center"/>
          </w:tcPr>
          <w:p>
            <w:pPr>
              <w:pStyle w:val="21"/>
              <w:spacing w:line="36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exact"/>
          <w:jc w:val="center"/>
        </w:trPr>
        <w:tc>
          <w:tcPr>
            <w:tcW w:w="3257" w:type="dxa"/>
            <w:vAlign w:val="center"/>
          </w:tcPr>
          <w:p>
            <w:pPr>
              <w:pStyle w:val="21"/>
              <w:spacing w:line="36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4类</w:t>
            </w:r>
          </w:p>
        </w:tc>
        <w:tc>
          <w:tcPr>
            <w:tcW w:w="2816" w:type="dxa"/>
            <w:vAlign w:val="center"/>
          </w:tcPr>
          <w:p>
            <w:pPr>
              <w:pStyle w:val="21"/>
              <w:spacing w:line="36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70</w:t>
            </w:r>
          </w:p>
        </w:tc>
        <w:tc>
          <w:tcPr>
            <w:tcW w:w="2627" w:type="dxa"/>
            <w:vAlign w:val="center"/>
          </w:tcPr>
          <w:p>
            <w:pPr>
              <w:pStyle w:val="21"/>
              <w:spacing w:line="360" w:lineRule="auto"/>
              <w:ind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55</w:t>
            </w:r>
          </w:p>
        </w:tc>
      </w:tr>
      <w:bookmarkEnd w:id="52"/>
      <w:bookmarkEnd w:id="53"/>
    </w:tbl>
    <w:p>
      <w:pPr>
        <w:pStyle w:val="3"/>
        <w:rPr>
          <w:rFonts w:hint="default" w:ascii="Times New Roman" w:hAnsi="Times New Roman" w:cs="Times New Roman"/>
          <w:highlight w:val="yellow"/>
          <w:lang w:eastAsia="zh-CN"/>
        </w:rPr>
      </w:pPr>
      <w:bookmarkStart w:id="55" w:name="_Toc1196"/>
      <w:bookmarkStart w:id="56" w:name="_Toc9563"/>
      <w:bookmarkStart w:id="57" w:name="_Toc4727"/>
      <w:r>
        <w:rPr>
          <w:rFonts w:hint="default" w:ascii="Times New Roman" w:hAnsi="Times New Roman" w:cs="Times New Roman"/>
          <w:lang w:eastAsia="zh-CN"/>
        </w:rPr>
        <w:t>六</w:t>
      </w:r>
      <w:r>
        <w:rPr>
          <w:rFonts w:hint="default" w:ascii="Times New Roman" w:hAnsi="Times New Roman" w:cs="Times New Roman"/>
          <w:highlight w:val="none"/>
          <w:lang w:eastAsia="zh-CN"/>
        </w:rPr>
        <w:t>、验收监测内容及分析方法</w:t>
      </w:r>
      <w:bookmarkEnd w:id="55"/>
    </w:p>
    <w:p>
      <w:pPr>
        <w:pStyle w:val="4"/>
        <w:rPr>
          <w:rFonts w:hint="default" w:ascii="Times New Roman" w:hAnsi="Times New Roman" w:cs="Times New Roman"/>
          <w:lang w:eastAsia="zh-CN"/>
        </w:rPr>
      </w:pPr>
      <w:bookmarkStart w:id="58" w:name="_Toc17181"/>
      <w:r>
        <w:rPr>
          <w:rFonts w:hint="default" w:ascii="Times New Roman" w:hAnsi="Times New Roman" w:cs="Times New Roman"/>
          <w:lang w:eastAsia="zh-CN"/>
        </w:rPr>
        <w:t>（一）监测内容</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562" w:firstLineChars="200"/>
        <w:jc w:val="both"/>
        <w:textAlignment w:val="auto"/>
        <w:outlineLvl w:val="1"/>
        <w:rPr>
          <w:rFonts w:hint="default" w:ascii="Times New Roman" w:hAnsi="Times New Roman" w:eastAsia="宋体" w:cs="Times New Roman"/>
          <w:b/>
          <w:bCs w:val="0"/>
          <w:sz w:val="28"/>
          <w:szCs w:val="28"/>
          <w:lang w:eastAsia="zh-CN"/>
        </w:rPr>
      </w:pPr>
      <w:bookmarkStart w:id="59" w:name="_Toc11339"/>
      <w:bookmarkStart w:id="60" w:name="_Toc7594"/>
      <w:bookmarkStart w:id="61" w:name="_Toc28819"/>
      <w:bookmarkStart w:id="62" w:name="_Toc3705"/>
      <w:r>
        <w:rPr>
          <w:rFonts w:hint="default" w:ascii="Times New Roman" w:hAnsi="Times New Roman" w:eastAsia="宋体" w:cs="Times New Roman"/>
          <w:b/>
          <w:bCs w:val="0"/>
          <w:sz w:val="28"/>
          <w:szCs w:val="28"/>
          <w:lang w:eastAsia="zh-CN"/>
        </w:rPr>
        <w:t>1、无组织排放废气</w:t>
      </w:r>
      <w:bookmarkEnd w:id="59"/>
      <w:bookmarkEnd w:id="60"/>
      <w:bookmarkEnd w:id="61"/>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1"/>
        <w:rPr>
          <w:rFonts w:hint="default" w:ascii="Times New Roman" w:hAnsi="Times New Roman" w:eastAsia="宋体" w:cs="Times New Roman"/>
          <w:b w:val="0"/>
          <w:bCs/>
          <w:sz w:val="28"/>
          <w:szCs w:val="28"/>
          <w:lang w:eastAsia="zh-CN"/>
        </w:rPr>
      </w:pPr>
      <w:bookmarkStart w:id="63" w:name="_Toc2941"/>
      <w:bookmarkStart w:id="64" w:name="_Toc4551"/>
      <w:bookmarkStart w:id="65" w:name="_Toc1832"/>
      <w:bookmarkStart w:id="66" w:name="_Toc26095"/>
      <w:r>
        <w:rPr>
          <w:rFonts w:hint="default" w:ascii="Times New Roman" w:hAnsi="Times New Roman" w:eastAsia="宋体" w:cs="Times New Roman"/>
          <w:b w:val="0"/>
          <w:bCs/>
          <w:sz w:val="28"/>
          <w:szCs w:val="28"/>
          <w:lang w:eastAsia="zh-CN"/>
        </w:rPr>
        <w:t>（1）监测点位：周界设置3个监测点；</w:t>
      </w:r>
      <w:bookmarkEnd w:id="63"/>
      <w:bookmarkEnd w:id="64"/>
      <w:bookmarkEnd w:id="65"/>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1"/>
        <w:rPr>
          <w:rFonts w:hint="default" w:ascii="Times New Roman" w:hAnsi="Times New Roman" w:eastAsia="宋体" w:cs="Times New Roman"/>
          <w:b w:val="0"/>
          <w:bCs/>
          <w:sz w:val="28"/>
          <w:szCs w:val="28"/>
          <w:lang w:eastAsia="zh-CN"/>
        </w:rPr>
      </w:pPr>
      <w:bookmarkStart w:id="67" w:name="_Toc27298"/>
      <w:bookmarkStart w:id="68" w:name="_Toc15160"/>
      <w:bookmarkStart w:id="69" w:name="_Toc19682"/>
      <w:bookmarkStart w:id="70" w:name="_Toc11113"/>
      <w:r>
        <w:rPr>
          <w:rFonts w:hint="default" w:ascii="Times New Roman" w:hAnsi="Times New Roman" w:eastAsia="宋体" w:cs="Times New Roman"/>
          <w:b w:val="0"/>
          <w:bCs/>
          <w:sz w:val="28"/>
          <w:szCs w:val="28"/>
          <w:lang w:eastAsia="zh-CN"/>
        </w:rPr>
        <w:t>（2）监测项目：非甲烷总烃；</w:t>
      </w:r>
      <w:bookmarkEnd w:id="67"/>
      <w:bookmarkEnd w:id="68"/>
      <w:bookmarkEnd w:id="69"/>
      <w:bookmarkEnd w:id="70"/>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1"/>
        <w:rPr>
          <w:rFonts w:hint="default" w:ascii="Times New Roman" w:hAnsi="Times New Roman" w:eastAsia="宋体" w:cs="Times New Roman"/>
          <w:b w:val="0"/>
          <w:bCs/>
          <w:sz w:val="28"/>
          <w:szCs w:val="28"/>
          <w:lang w:eastAsia="zh-CN"/>
        </w:rPr>
      </w:pPr>
      <w:bookmarkStart w:id="71" w:name="_Toc20916"/>
      <w:bookmarkStart w:id="72" w:name="_Toc28485"/>
      <w:bookmarkStart w:id="73" w:name="_Toc14542"/>
      <w:bookmarkStart w:id="74" w:name="_Toc1396"/>
      <w:r>
        <w:rPr>
          <w:rFonts w:hint="default" w:ascii="Times New Roman" w:hAnsi="Times New Roman" w:eastAsia="宋体" w:cs="Times New Roman"/>
          <w:b w:val="0"/>
          <w:bCs/>
          <w:sz w:val="28"/>
          <w:szCs w:val="28"/>
          <w:lang w:eastAsia="zh-CN"/>
        </w:rPr>
        <w:t>（3）采样频次：连续采样2天，每天采样3次。</w:t>
      </w:r>
      <w:bookmarkEnd w:id="71"/>
      <w:bookmarkEnd w:id="72"/>
      <w:bookmarkEnd w:id="73"/>
      <w:bookmarkEnd w:id="74"/>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562" w:firstLineChars="200"/>
        <w:jc w:val="both"/>
        <w:textAlignment w:val="auto"/>
        <w:outlineLvl w:val="1"/>
        <w:rPr>
          <w:rFonts w:hint="default" w:ascii="Times New Roman" w:hAnsi="Times New Roman" w:eastAsia="宋体" w:cs="Times New Roman"/>
          <w:b/>
          <w:sz w:val="28"/>
          <w:szCs w:val="28"/>
          <w:lang w:eastAsia="zh-CN"/>
        </w:rPr>
      </w:pPr>
      <w:bookmarkStart w:id="75" w:name="_Toc18391"/>
      <w:bookmarkStart w:id="76" w:name="_Toc13804"/>
      <w:bookmarkStart w:id="77" w:name="_Toc29425"/>
      <w:bookmarkStart w:id="78" w:name="_Toc10728"/>
      <w:r>
        <w:rPr>
          <w:rFonts w:hint="default" w:ascii="Times New Roman" w:hAnsi="Times New Roman" w:eastAsia="宋体" w:cs="Times New Roman"/>
          <w:b/>
          <w:sz w:val="28"/>
          <w:szCs w:val="28"/>
          <w:lang w:eastAsia="zh-CN"/>
        </w:rPr>
        <w:t>2、废水</w:t>
      </w:r>
      <w:bookmarkEnd w:id="75"/>
      <w:bookmarkEnd w:id="76"/>
      <w:bookmarkEnd w:id="77"/>
      <w:bookmarkEnd w:id="78"/>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0" w:rightChars="0" w:firstLine="560" w:firstLineChars="200"/>
        <w:jc w:val="both"/>
        <w:textAlignment w:val="auto"/>
        <w:outlineLvl w:val="9"/>
        <w:rPr>
          <w:rFonts w:hint="eastAsia" w:cs="Times New Roman" w:eastAsiaTheme="minorEastAsia"/>
          <w:bCs/>
          <w:kern w:val="0"/>
          <w:sz w:val="28"/>
          <w:szCs w:val="28"/>
          <w:lang w:eastAsia="zh-CN"/>
        </w:rPr>
      </w:pPr>
      <w:bookmarkStart w:id="79" w:name="_Toc20352"/>
      <w:bookmarkStart w:id="80" w:name="_Toc19616"/>
      <w:r>
        <w:rPr>
          <w:rFonts w:hint="eastAsia" w:cs="Times New Roman" w:eastAsiaTheme="minorEastAsia"/>
          <w:bCs/>
          <w:kern w:val="0"/>
          <w:sz w:val="28"/>
          <w:szCs w:val="28"/>
          <w:lang w:eastAsia="zh-CN"/>
        </w:rPr>
        <w:t>（</w:t>
      </w:r>
      <w:r>
        <w:rPr>
          <w:rFonts w:hint="eastAsia" w:cs="Times New Roman" w:eastAsiaTheme="minorEastAsia"/>
          <w:bCs/>
          <w:kern w:val="0"/>
          <w:sz w:val="28"/>
          <w:szCs w:val="28"/>
          <w:lang w:val="en-US" w:eastAsia="zh-CN"/>
        </w:rPr>
        <w:t>1</w:t>
      </w:r>
      <w:r>
        <w:rPr>
          <w:rFonts w:hint="eastAsia" w:cs="Times New Roman" w:eastAsiaTheme="minorEastAsia"/>
          <w:bCs/>
          <w:kern w:val="0"/>
          <w:sz w:val="28"/>
          <w:szCs w:val="28"/>
          <w:lang w:eastAsia="zh-CN"/>
        </w:rPr>
        <w:t>）生活废水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0" w:rightChars="0" w:firstLine="560" w:firstLineChars="200"/>
        <w:jc w:val="both"/>
        <w:textAlignment w:val="auto"/>
        <w:outlineLvl w:val="9"/>
        <w:rPr>
          <w:rFonts w:hint="eastAsia" w:cs="Times New Roman" w:eastAsiaTheme="minorEastAsia"/>
          <w:bCs/>
          <w:kern w:val="0"/>
          <w:sz w:val="28"/>
          <w:szCs w:val="28"/>
          <w:lang w:eastAsia="zh-CN"/>
        </w:rPr>
      </w:pPr>
      <w:r>
        <w:rPr>
          <w:rFonts w:hint="eastAsia" w:cs="Times New Roman" w:eastAsiaTheme="minorEastAsia"/>
          <w:bCs/>
          <w:kern w:val="0"/>
          <w:sz w:val="28"/>
          <w:szCs w:val="28"/>
          <w:lang w:eastAsia="zh-CN"/>
        </w:rPr>
        <w:t>验收监测期间，生活废水排放量小，经隔油池和化粪池处理后，定期清掏用作农肥，不外排。</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0" w:rightChars="0" w:firstLine="560" w:firstLineChars="200"/>
        <w:jc w:val="both"/>
        <w:textAlignment w:val="auto"/>
        <w:outlineLvl w:val="9"/>
        <w:rPr>
          <w:rFonts w:hint="eastAsia" w:cs="Times New Roman" w:eastAsiaTheme="minorEastAsia"/>
          <w:bCs/>
          <w:kern w:val="0"/>
          <w:sz w:val="28"/>
          <w:szCs w:val="28"/>
          <w:lang w:eastAsia="zh-CN"/>
        </w:rPr>
      </w:pPr>
      <w:r>
        <w:rPr>
          <w:rFonts w:hint="eastAsia" w:cs="Times New Roman" w:eastAsiaTheme="minorEastAsia"/>
          <w:bCs/>
          <w:kern w:val="0"/>
          <w:sz w:val="28"/>
          <w:szCs w:val="28"/>
          <w:lang w:eastAsia="zh-CN"/>
        </w:rPr>
        <w:t>（</w:t>
      </w:r>
      <w:r>
        <w:rPr>
          <w:rFonts w:hint="eastAsia" w:cs="Times New Roman" w:eastAsiaTheme="minorEastAsia"/>
          <w:bCs/>
          <w:kern w:val="0"/>
          <w:sz w:val="28"/>
          <w:szCs w:val="28"/>
          <w:lang w:val="en-US" w:eastAsia="zh-CN"/>
        </w:rPr>
        <w:t>2</w:t>
      </w:r>
      <w:r>
        <w:rPr>
          <w:rFonts w:hint="eastAsia" w:cs="Times New Roman" w:eastAsiaTheme="minorEastAsia"/>
          <w:bCs/>
          <w:kern w:val="0"/>
          <w:sz w:val="28"/>
          <w:szCs w:val="28"/>
          <w:lang w:eastAsia="zh-CN"/>
        </w:rPr>
        <w:t>）冲洗地面废水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1"/>
        <w:rPr>
          <w:rFonts w:hint="default" w:ascii="Times New Roman" w:hAnsi="Times New Roman" w:eastAsia="宋体" w:cs="Times New Roman"/>
          <w:b w:val="0"/>
          <w:bCs/>
          <w:sz w:val="28"/>
          <w:szCs w:val="28"/>
          <w:lang w:eastAsia="zh-CN"/>
        </w:rPr>
      </w:pPr>
      <w:bookmarkStart w:id="81" w:name="_Toc28328"/>
      <w:bookmarkStart w:id="82" w:name="_Toc2565"/>
      <w:r>
        <w:rPr>
          <w:rFonts w:hint="default" w:ascii="Times New Roman" w:hAnsi="Times New Roman" w:eastAsia="宋体" w:cs="Times New Roman"/>
          <w:b w:val="0"/>
          <w:bCs/>
          <w:sz w:val="28"/>
          <w:szCs w:val="28"/>
          <w:lang w:eastAsia="zh-CN"/>
        </w:rPr>
        <w:t>①</w:t>
      </w:r>
      <w:r>
        <w:rPr>
          <w:rFonts w:hint="default" w:ascii="Times New Roman" w:hAnsi="Times New Roman" w:eastAsia="宋体" w:cs="Times New Roman"/>
          <w:b w:val="0"/>
          <w:bCs/>
          <w:sz w:val="28"/>
          <w:szCs w:val="28"/>
          <w:lang w:val="en-US" w:eastAsia="zh-CN"/>
        </w:rPr>
        <w:t xml:space="preserve"> </w:t>
      </w:r>
      <w:r>
        <w:rPr>
          <w:rFonts w:hint="default" w:ascii="Times New Roman" w:hAnsi="Times New Roman" w:eastAsia="宋体" w:cs="Times New Roman"/>
          <w:b w:val="0"/>
          <w:bCs/>
          <w:sz w:val="28"/>
          <w:szCs w:val="28"/>
          <w:lang w:eastAsia="zh-CN"/>
        </w:rPr>
        <w:t>监测点位：</w:t>
      </w:r>
      <w:r>
        <w:rPr>
          <w:rFonts w:hint="default" w:cs="Times New Roman" w:eastAsiaTheme="minorEastAsia"/>
          <w:bCs/>
          <w:kern w:val="0"/>
          <w:sz w:val="28"/>
          <w:szCs w:val="28"/>
          <w:lang w:eastAsia="zh-CN"/>
        </w:rPr>
        <w:t>废水</w:t>
      </w:r>
      <w:r>
        <w:rPr>
          <w:rFonts w:hint="default" w:ascii="Times New Roman" w:hAnsi="Times New Roman" w:eastAsia="宋体" w:cs="Times New Roman"/>
          <w:b w:val="0"/>
          <w:bCs/>
          <w:sz w:val="28"/>
          <w:szCs w:val="28"/>
          <w:lang w:eastAsia="zh-CN"/>
        </w:rPr>
        <w:t>总排口。</w:t>
      </w:r>
      <w:bookmarkEnd w:id="81"/>
      <w:bookmarkEnd w:id="8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0" w:rightChars="0" w:firstLine="560" w:firstLineChars="200"/>
        <w:jc w:val="both"/>
        <w:textAlignment w:val="auto"/>
        <w:outlineLvl w:val="9"/>
        <w:rPr>
          <w:rFonts w:hint="default" w:cs="Times New Roman" w:eastAsiaTheme="minorEastAsia"/>
          <w:bCs/>
          <w:kern w:val="0"/>
          <w:sz w:val="28"/>
          <w:szCs w:val="28"/>
          <w:lang w:val="en-US" w:eastAsia="zh-CN"/>
        </w:rPr>
      </w:pPr>
      <w:r>
        <w:rPr>
          <w:rFonts w:hint="default" w:ascii="Times New Roman" w:hAnsi="Times New Roman" w:eastAsia="宋体" w:cs="Times New Roman"/>
          <w:b w:val="0"/>
          <w:bCs/>
          <w:sz w:val="28"/>
          <w:szCs w:val="28"/>
          <w:lang w:eastAsia="zh-CN"/>
        </w:rPr>
        <w:t>②监测项目：</w:t>
      </w:r>
      <w:r>
        <w:rPr>
          <w:rFonts w:hint="default" w:ascii="Times New Roman" w:hAnsi="Times New Roman" w:eastAsia="宋体" w:cs="Times New Roman"/>
          <w:b w:val="0"/>
          <w:bCs/>
          <w:sz w:val="28"/>
          <w:szCs w:val="28"/>
          <w:lang w:val="en-US" w:eastAsia="zh-CN"/>
        </w:rPr>
        <w:t>pH、COD、</w:t>
      </w:r>
      <w:r>
        <w:rPr>
          <w:rFonts w:hint="eastAsia" w:ascii="Times New Roman" w:hAnsi="Times New Roman" w:eastAsia="宋体" w:cs="Times New Roman"/>
          <w:b w:val="0"/>
          <w:bCs/>
          <w:sz w:val="28"/>
          <w:szCs w:val="28"/>
          <w:lang w:val="en-US" w:eastAsia="zh-CN"/>
        </w:rPr>
        <w:t>BOD</w:t>
      </w:r>
      <w:r>
        <w:rPr>
          <w:rFonts w:hint="eastAsia" w:ascii="Times New Roman" w:hAnsi="Times New Roman" w:eastAsia="宋体" w:cs="Times New Roman"/>
          <w:b w:val="0"/>
          <w:bCs/>
          <w:sz w:val="28"/>
          <w:szCs w:val="28"/>
          <w:vertAlign w:val="subscript"/>
          <w:lang w:val="en-US" w:eastAsia="zh-CN"/>
        </w:rPr>
        <w:t>5</w:t>
      </w:r>
      <w:r>
        <w:rPr>
          <w:rFonts w:hint="eastAsia" w:ascii="Times New Roman" w:hAnsi="Times New Roman" w:eastAsia="宋体" w:cs="Times New Roman"/>
          <w:b w:val="0"/>
          <w:bCs/>
          <w:sz w:val="28"/>
          <w:szCs w:val="28"/>
          <w:lang w:val="en-US" w:eastAsia="zh-CN"/>
        </w:rPr>
        <w:t>、</w:t>
      </w:r>
      <w:r>
        <w:rPr>
          <w:rFonts w:hint="default" w:ascii="Times New Roman" w:hAnsi="Times New Roman" w:eastAsia="宋体" w:cs="Times New Roman"/>
          <w:b w:val="0"/>
          <w:bCs/>
          <w:sz w:val="28"/>
          <w:szCs w:val="28"/>
          <w:lang w:val="en-US" w:eastAsia="zh-CN"/>
        </w:rPr>
        <w:t>SS、氨氮、</w:t>
      </w:r>
      <w:r>
        <w:rPr>
          <w:rFonts w:hint="default" w:cs="Times New Roman" w:eastAsiaTheme="minorEastAsia"/>
          <w:bCs/>
          <w:kern w:val="0"/>
          <w:sz w:val="28"/>
          <w:szCs w:val="28"/>
          <w:lang w:val="en-US" w:eastAsia="zh-CN"/>
        </w:rPr>
        <w:t>石油类</w:t>
      </w:r>
      <w:r>
        <w:rPr>
          <w:rFonts w:hint="eastAsia" w:cs="Times New Roman" w:eastAsiaTheme="minorEastAsia"/>
          <w:bCs/>
          <w:kern w:val="0"/>
          <w:sz w:val="28"/>
          <w:szCs w:val="28"/>
          <w:lang w:val="en-US" w:eastAsia="zh-CN"/>
        </w:rPr>
        <w:t>、动植物油</w:t>
      </w:r>
      <w:r>
        <w:rPr>
          <w:rFonts w:hint="default" w:cs="Times New Roman" w:eastAsiaTheme="minorEastAsia"/>
          <w:bCs/>
          <w:kern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0" w:rightChars="0" w:firstLine="560" w:firstLineChars="200"/>
        <w:jc w:val="both"/>
        <w:textAlignment w:val="auto"/>
        <w:outlineLvl w:val="9"/>
        <w:rPr>
          <w:rFonts w:hint="default" w:cs="Times New Roman" w:eastAsiaTheme="minorEastAsia"/>
          <w:bCs/>
          <w:kern w:val="0"/>
          <w:sz w:val="28"/>
          <w:szCs w:val="28"/>
          <w:lang w:eastAsia="zh-CN"/>
        </w:rPr>
      </w:pPr>
      <w:r>
        <w:rPr>
          <w:rFonts w:hint="default" w:ascii="Times New Roman" w:hAnsi="Times New Roman" w:cs="Times New Roman" w:eastAsiaTheme="minorEastAsia"/>
          <w:bCs/>
          <w:kern w:val="0"/>
          <w:sz w:val="28"/>
          <w:szCs w:val="28"/>
          <w:lang w:val="en-US" w:eastAsia="zh-CN"/>
        </w:rPr>
        <w:t>③采</w:t>
      </w:r>
      <w:r>
        <w:rPr>
          <w:rFonts w:hint="default" w:cs="Times New Roman" w:eastAsiaTheme="minorEastAsia"/>
          <w:bCs/>
          <w:kern w:val="0"/>
          <w:sz w:val="28"/>
          <w:szCs w:val="28"/>
          <w:lang w:val="en-US" w:eastAsia="zh-CN"/>
        </w:rPr>
        <w:t>样频次：</w:t>
      </w:r>
      <w:r>
        <w:rPr>
          <w:rFonts w:hint="default" w:ascii="Times New Roman" w:hAnsi="Times New Roman" w:cs="Times New Roman" w:eastAsiaTheme="minorEastAsia"/>
          <w:bCs/>
          <w:kern w:val="0"/>
          <w:sz w:val="28"/>
          <w:szCs w:val="28"/>
          <w:lang w:val="en-US" w:eastAsia="zh-CN"/>
        </w:rPr>
        <w:t>连续采样2天，每天</w:t>
      </w:r>
      <w:r>
        <w:rPr>
          <w:rFonts w:hint="eastAsia" w:ascii="Times New Roman" w:hAnsi="Times New Roman" w:cs="Times New Roman" w:eastAsiaTheme="minorEastAsia"/>
          <w:bCs/>
          <w:kern w:val="0"/>
          <w:sz w:val="28"/>
          <w:szCs w:val="28"/>
          <w:lang w:val="en-US" w:eastAsia="zh-CN"/>
        </w:rPr>
        <w:t>3</w:t>
      </w:r>
      <w:r>
        <w:rPr>
          <w:rFonts w:hint="default" w:ascii="Times New Roman" w:hAnsi="Times New Roman" w:cs="Times New Roman" w:eastAsiaTheme="minorEastAsia"/>
          <w:bCs/>
          <w:kern w:val="0"/>
          <w:sz w:val="28"/>
          <w:szCs w:val="28"/>
          <w:lang w:val="en-US" w:eastAsia="zh-CN"/>
        </w:rPr>
        <w:t>次，每隔两小时1次。</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40" w:lineRule="exact"/>
        <w:ind w:right="0" w:rightChars="0" w:firstLine="562" w:firstLineChars="200"/>
        <w:jc w:val="both"/>
        <w:textAlignment w:val="auto"/>
        <w:outlineLvl w:val="1"/>
        <w:rPr>
          <w:rFonts w:hint="default" w:ascii="Times New Roman" w:hAnsi="Times New Roman" w:eastAsia="宋体" w:cs="Times New Roman"/>
          <w:b/>
          <w:sz w:val="28"/>
          <w:szCs w:val="28"/>
          <w:lang w:eastAsia="zh-CN"/>
        </w:rPr>
      </w:pPr>
      <w:bookmarkStart w:id="83" w:name="_Toc16183"/>
      <w:bookmarkStart w:id="84" w:name="_Toc28412"/>
      <w:r>
        <w:rPr>
          <w:rFonts w:hint="default" w:ascii="Times New Roman" w:hAnsi="Times New Roman" w:eastAsia="宋体" w:cs="Times New Roman"/>
          <w:b/>
          <w:sz w:val="28"/>
          <w:szCs w:val="28"/>
          <w:lang w:eastAsia="zh-CN"/>
        </w:rPr>
        <w:t>3、噪声</w:t>
      </w:r>
      <w:bookmarkEnd w:id="79"/>
      <w:bookmarkEnd w:id="80"/>
      <w:bookmarkEnd w:id="83"/>
      <w:bookmarkEnd w:id="84"/>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1"/>
        <w:rPr>
          <w:rFonts w:hint="default" w:ascii="Times New Roman" w:hAnsi="Times New Roman" w:eastAsia="宋体" w:cs="Times New Roman"/>
          <w:b w:val="0"/>
          <w:bCs/>
          <w:sz w:val="28"/>
          <w:szCs w:val="28"/>
          <w:lang w:eastAsia="zh-CN"/>
        </w:rPr>
      </w:pPr>
      <w:bookmarkStart w:id="85" w:name="_Toc4462"/>
      <w:bookmarkStart w:id="86" w:name="_Toc18253"/>
      <w:bookmarkStart w:id="87" w:name="_Toc944"/>
      <w:bookmarkStart w:id="88" w:name="_Toc4531"/>
      <w:r>
        <w:rPr>
          <w:rFonts w:hint="default" w:ascii="Times New Roman" w:hAnsi="Times New Roman" w:eastAsia="宋体" w:cs="Times New Roman"/>
          <w:b w:val="0"/>
          <w:bCs/>
          <w:sz w:val="28"/>
          <w:szCs w:val="28"/>
          <w:lang w:eastAsia="zh-CN"/>
        </w:rPr>
        <w:t>（1）测量点位：站界外1米处，东、南、西、北4个点。</w:t>
      </w:r>
      <w:bookmarkEnd w:id="85"/>
      <w:bookmarkEnd w:id="86"/>
      <w:bookmarkEnd w:id="87"/>
      <w:bookmarkEnd w:id="88"/>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1"/>
        <w:rPr>
          <w:rFonts w:hint="default" w:ascii="Times New Roman" w:hAnsi="Times New Roman" w:eastAsia="宋体" w:cs="Times New Roman"/>
          <w:b w:val="0"/>
          <w:bCs/>
          <w:sz w:val="28"/>
          <w:szCs w:val="28"/>
          <w:lang w:eastAsia="zh-CN"/>
        </w:rPr>
      </w:pPr>
      <w:bookmarkStart w:id="89" w:name="_Toc21227"/>
      <w:bookmarkStart w:id="90" w:name="_Toc28790"/>
      <w:bookmarkStart w:id="91" w:name="_Toc1606"/>
      <w:bookmarkStart w:id="92" w:name="_Toc23050"/>
      <w:r>
        <w:rPr>
          <w:rFonts w:hint="default" w:ascii="Times New Roman" w:hAnsi="Times New Roman" w:eastAsia="宋体" w:cs="Times New Roman"/>
          <w:b w:val="0"/>
          <w:bCs/>
          <w:sz w:val="28"/>
          <w:szCs w:val="28"/>
          <w:lang w:eastAsia="zh-CN"/>
        </w:rPr>
        <w:t>（2）测量指标：厂界噪声。</w:t>
      </w:r>
      <w:bookmarkEnd w:id="89"/>
      <w:bookmarkEnd w:id="90"/>
      <w:bookmarkEnd w:id="91"/>
      <w:bookmarkEnd w:id="9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1"/>
        <w:rPr>
          <w:rFonts w:hint="default" w:ascii="Times New Roman" w:hAnsi="Times New Roman" w:eastAsia="宋体" w:cs="Times New Roman"/>
          <w:b/>
          <w:sz w:val="28"/>
          <w:szCs w:val="28"/>
          <w:lang w:val="en-US" w:eastAsia="zh-CN"/>
        </w:rPr>
      </w:pPr>
      <w:bookmarkStart w:id="93" w:name="_Toc25254"/>
      <w:bookmarkStart w:id="94" w:name="_Toc935"/>
      <w:bookmarkStart w:id="95" w:name="_Toc10620"/>
      <w:bookmarkStart w:id="96" w:name="_Toc5209"/>
      <w:r>
        <w:rPr>
          <w:rFonts w:hint="default" w:ascii="Times New Roman" w:hAnsi="Times New Roman" w:eastAsia="宋体" w:cs="Times New Roman"/>
          <w:b w:val="0"/>
          <w:bCs/>
          <w:sz w:val="28"/>
          <w:szCs w:val="28"/>
          <w:lang w:eastAsia="zh-CN"/>
        </w:rPr>
        <w:t>（3）测量频次：连续测量两天，每天昼、夜间各测量一次。</w:t>
      </w:r>
      <w:bookmarkEnd w:id="93"/>
      <w:bookmarkEnd w:id="94"/>
      <w:bookmarkEnd w:id="95"/>
      <w:bookmarkEnd w:id="96"/>
    </w:p>
    <w:p>
      <w:pPr>
        <w:pStyle w:val="4"/>
        <w:rPr>
          <w:rFonts w:hint="default" w:ascii="Times New Roman" w:hAnsi="Times New Roman" w:cs="Times New Roman"/>
          <w:lang w:eastAsia="zh-CN"/>
        </w:rPr>
      </w:pPr>
      <w:bookmarkStart w:id="97" w:name="_Toc28285"/>
      <w:r>
        <w:rPr>
          <w:rFonts w:hint="default" w:ascii="Times New Roman" w:hAnsi="Times New Roman" w:cs="Times New Roman"/>
          <w:lang w:val="en-US" w:eastAsia="zh-CN"/>
        </w:rPr>
        <w:t>（二）</w:t>
      </w:r>
      <w:r>
        <w:rPr>
          <w:rFonts w:hint="default" w:ascii="Times New Roman" w:hAnsi="Times New Roman" w:cs="Times New Roman"/>
          <w:lang w:eastAsia="zh-CN"/>
        </w:rPr>
        <w:t>分析方法</w:t>
      </w:r>
      <w:bookmarkEnd w:id="56"/>
      <w:bookmarkEnd w:id="57"/>
      <w:bookmarkEnd w:id="97"/>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1"/>
        <w:rPr>
          <w:rFonts w:hint="default" w:ascii="Times New Roman" w:hAnsi="Times New Roman" w:eastAsia="宋体" w:cs="Times New Roman"/>
          <w:b/>
          <w:sz w:val="28"/>
          <w:szCs w:val="28"/>
          <w:lang w:eastAsia="zh-CN"/>
        </w:rPr>
      </w:pPr>
      <w:bookmarkStart w:id="98" w:name="_Toc32209"/>
      <w:bookmarkStart w:id="99" w:name="_Toc18697"/>
      <w:bookmarkStart w:id="100" w:name="_Toc13060"/>
      <w:bookmarkStart w:id="101" w:name="_Toc32388"/>
      <w:r>
        <w:rPr>
          <w:rFonts w:hint="default" w:ascii="Times New Roman" w:hAnsi="Times New Roman" w:eastAsia="宋体" w:cs="Times New Roman"/>
          <w:b/>
          <w:bCs w:val="0"/>
          <w:kern w:val="0"/>
          <w:sz w:val="28"/>
          <w:szCs w:val="28"/>
          <w:lang w:val="en-US" w:eastAsia="zh-CN"/>
        </w:rPr>
        <w:t>表4  监测分析方法</w:t>
      </w:r>
      <w:bookmarkEnd w:id="98"/>
      <w:bookmarkEnd w:id="99"/>
      <w:bookmarkEnd w:id="100"/>
      <w:bookmarkEnd w:id="101"/>
    </w:p>
    <w:tbl>
      <w:tblPr>
        <w:tblStyle w:val="17"/>
        <w:tblW w:w="8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730"/>
        <w:gridCol w:w="4339"/>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exact"/>
        </w:trPr>
        <w:tc>
          <w:tcPr>
            <w:tcW w:w="2804" w:type="dxa"/>
            <w:gridSpan w:val="2"/>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监测项目</w:t>
            </w:r>
          </w:p>
        </w:tc>
        <w:tc>
          <w:tcPr>
            <w:tcW w:w="4339"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分析方法</w:t>
            </w:r>
          </w:p>
        </w:tc>
        <w:tc>
          <w:tcPr>
            <w:tcW w:w="1668" w:type="dxa"/>
            <w:vAlign w:val="center"/>
          </w:tcPr>
          <w:p>
            <w:pPr>
              <w:spacing w:line="360" w:lineRule="auto"/>
              <w:jc w:val="center"/>
              <w:rPr>
                <w:rFonts w:hint="default" w:ascii="Times New Roman" w:hAnsi="Times New Roman" w:cs="Times New Roman" w:eastAsiaTheme="minorEastAsia"/>
                <w:bCs/>
                <w:kern w:val="0"/>
                <w:sz w:val="24"/>
                <w:szCs w:val="24"/>
                <w:vertAlign w:val="baseline"/>
                <w:lang w:eastAsia="zh-CN"/>
              </w:rPr>
            </w:pPr>
            <w:r>
              <w:rPr>
                <w:rFonts w:hint="default" w:ascii="Times New Roman" w:hAnsi="Times New Roman" w:cs="Times New Roman" w:eastAsiaTheme="minorEastAsia"/>
                <w:bCs/>
                <w:kern w:val="0"/>
                <w:sz w:val="24"/>
                <w:szCs w:val="24"/>
                <w:vertAlign w:val="baseline"/>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074" w:type="dxa"/>
            <w:vMerge w:val="restart"/>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eastAsia" w:ascii="Times New Roman" w:hAnsi="Times New Roman" w:cs="Times New Roman" w:eastAsiaTheme="minorEastAsia"/>
                <w:bCs/>
                <w:kern w:val="0"/>
                <w:sz w:val="21"/>
                <w:szCs w:val="21"/>
                <w:vertAlign w:val="baseline"/>
                <w:lang w:val="en-US" w:eastAsia="zh-CN"/>
              </w:rPr>
              <w:t>水</w:t>
            </w:r>
          </w:p>
        </w:tc>
        <w:tc>
          <w:tcPr>
            <w:tcW w:w="1730"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pH</w:t>
            </w:r>
          </w:p>
        </w:tc>
        <w:tc>
          <w:tcPr>
            <w:tcW w:w="4339"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玻璃电极法GB/T6920-1986</w:t>
            </w:r>
          </w:p>
        </w:tc>
        <w:tc>
          <w:tcPr>
            <w:tcW w:w="1668" w:type="dxa"/>
            <w:vAlign w:val="center"/>
          </w:tcPr>
          <w:p>
            <w:pPr>
              <w:spacing w:line="240" w:lineRule="auto"/>
              <w:jc w:val="center"/>
              <w:rPr>
                <w:rFonts w:hint="default" w:ascii="Times New Roman" w:hAnsi="Times New Roman" w:cs="Times New Roman" w:eastAsiaTheme="minorEastAsia"/>
                <w:bCs/>
                <w:kern w:val="0"/>
                <w:sz w:val="24"/>
                <w:szCs w:val="24"/>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0.01（无量纲）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074" w:type="dxa"/>
            <w:vMerge w:val="continue"/>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p>
        </w:tc>
        <w:tc>
          <w:tcPr>
            <w:tcW w:w="1730"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SS</w:t>
            </w:r>
          </w:p>
        </w:tc>
        <w:tc>
          <w:tcPr>
            <w:tcW w:w="4339"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重量法GB11901-89</w:t>
            </w:r>
          </w:p>
        </w:tc>
        <w:tc>
          <w:tcPr>
            <w:tcW w:w="1668" w:type="dxa"/>
            <w:vAlign w:val="center"/>
          </w:tcPr>
          <w:p>
            <w:pPr>
              <w:spacing w:line="240" w:lineRule="auto"/>
              <w:jc w:val="center"/>
              <w:rPr>
                <w:rFonts w:hint="default" w:ascii="Times New Roman" w:hAnsi="Times New Roman" w:cs="Times New Roman" w:eastAsiaTheme="minorEastAsia"/>
                <w:bCs/>
                <w:kern w:val="0"/>
                <w:sz w:val="24"/>
                <w:szCs w:val="24"/>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074" w:type="dxa"/>
            <w:vMerge w:val="continue"/>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p>
        </w:tc>
        <w:tc>
          <w:tcPr>
            <w:tcW w:w="1730"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CODcr</w:t>
            </w:r>
          </w:p>
        </w:tc>
        <w:tc>
          <w:tcPr>
            <w:tcW w:w="4339"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重铬酸盐法HJ828-2017</w:t>
            </w:r>
          </w:p>
        </w:tc>
        <w:tc>
          <w:tcPr>
            <w:tcW w:w="1668" w:type="dxa"/>
            <w:vAlign w:val="center"/>
          </w:tcPr>
          <w:p>
            <w:pPr>
              <w:spacing w:line="240" w:lineRule="auto"/>
              <w:jc w:val="center"/>
              <w:rPr>
                <w:rFonts w:hint="default" w:ascii="Times New Roman" w:hAnsi="Times New Roman" w:cs="Times New Roman" w:eastAsiaTheme="minorEastAsia"/>
                <w:bCs/>
                <w:kern w:val="0"/>
                <w:sz w:val="24"/>
                <w:szCs w:val="24"/>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074" w:type="dxa"/>
            <w:vMerge w:val="continue"/>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p>
        </w:tc>
        <w:tc>
          <w:tcPr>
            <w:tcW w:w="1730"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eastAsia" w:ascii="Times New Roman" w:hAnsi="Times New Roman" w:cs="Times New Roman" w:eastAsiaTheme="minorEastAsia"/>
                <w:bCs/>
                <w:kern w:val="0"/>
                <w:sz w:val="21"/>
                <w:szCs w:val="21"/>
                <w:vertAlign w:val="baseline"/>
                <w:lang w:val="en-US" w:eastAsia="zh-CN"/>
              </w:rPr>
              <w:t>BOD</w:t>
            </w:r>
            <w:r>
              <w:rPr>
                <w:rFonts w:hint="eastAsia" w:ascii="Times New Roman" w:hAnsi="Times New Roman" w:cs="Times New Roman" w:eastAsiaTheme="minorEastAsia"/>
                <w:bCs/>
                <w:kern w:val="0"/>
                <w:sz w:val="21"/>
                <w:szCs w:val="21"/>
                <w:vertAlign w:val="subscript"/>
                <w:lang w:val="en-US" w:eastAsia="zh-CN"/>
              </w:rPr>
              <w:t>5</w:t>
            </w:r>
          </w:p>
        </w:tc>
        <w:tc>
          <w:tcPr>
            <w:tcW w:w="4339"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稀释与接种法HJ</w:t>
            </w:r>
            <w:r>
              <w:rPr>
                <w:rFonts w:hint="eastAsia" w:ascii="Times New Roman" w:hAnsi="Times New Roman" w:cs="Times New Roman" w:eastAsiaTheme="minorEastAsia"/>
                <w:bCs/>
                <w:kern w:val="0"/>
                <w:sz w:val="21"/>
                <w:szCs w:val="21"/>
                <w:vertAlign w:val="baseline"/>
                <w:lang w:val="en-US" w:eastAsia="zh-CN"/>
              </w:rPr>
              <w:t>505</w:t>
            </w:r>
            <w:r>
              <w:rPr>
                <w:rFonts w:hint="default" w:ascii="Times New Roman" w:hAnsi="Times New Roman" w:cs="Times New Roman" w:eastAsiaTheme="minorEastAsia"/>
                <w:bCs/>
                <w:kern w:val="0"/>
                <w:sz w:val="21"/>
                <w:szCs w:val="21"/>
                <w:vertAlign w:val="baseline"/>
                <w:lang w:val="en-US" w:eastAsia="zh-CN"/>
              </w:rPr>
              <w:t>-2009</w:t>
            </w:r>
          </w:p>
        </w:tc>
        <w:tc>
          <w:tcPr>
            <w:tcW w:w="1668"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eastAsia" w:cs="Times New Roman" w:eastAsiaTheme="minorEastAsia"/>
                <w:bCs/>
                <w:kern w:val="0"/>
                <w:sz w:val="21"/>
                <w:szCs w:val="21"/>
                <w:vertAlign w:val="baseline"/>
                <w:lang w:val="en-US" w:eastAsia="zh-CN"/>
              </w:rPr>
              <w:t>0.5</w:t>
            </w:r>
            <w:r>
              <w:rPr>
                <w:rFonts w:hint="default" w:ascii="Times New Roman" w:hAnsi="Times New Roman" w:cs="Times New Roman" w:eastAsiaTheme="minorEastAsia"/>
                <w:bCs/>
                <w:kern w:val="0"/>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074" w:type="dxa"/>
            <w:vMerge w:val="continue"/>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p>
        </w:tc>
        <w:tc>
          <w:tcPr>
            <w:tcW w:w="1730"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eastAsia" w:ascii="Times New Roman" w:hAnsi="Times New Roman" w:cs="Times New Roman" w:eastAsiaTheme="minorEastAsia"/>
                <w:bCs/>
                <w:kern w:val="0"/>
                <w:sz w:val="21"/>
                <w:szCs w:val="21"/>
                <w:vertAlign w:val="baseline"/>
                <w:lang w:val="en-US" w:eastAsia="zh-CN"/>
              </w:rPr>
              <w:t>石油</w:t>
            </w:r>
          </w:p>
        </w:tc>
        <w:tc>
          <w:tcPr>
            <w:tcW w:w="4339" w:type="dxa"/>
            <w:vMerge w:val="restart"/>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红外分光光度法HJ637-2012</w:t>
            </w:r>
          </w:p>
        </w:tc>
        <w:tc>
          <w:tcPr>
            <w:tcW w:w="1668" w:type="dxa"/>
            <w:vMerge w:val="restart"/>
            <w:vAlign w:val="center"/>
          </w:tcPr>
          <w:p>
            <w:pPr>
              <w:spacing w:line="240" w:lineRule="auto"/>
              <w:jc w:val="center"/>
              <w:rPr>
                <w:rFonts w:hint="default" w:ascii="Times New Roman" w:hAnsi="Times New Roman" w:cs="Times New Roman" w:eastAsiaTheme="minorEastAsia"/>
                <w:bCs/>
                <w:kern w:val="0"/>
                <w:sz w:val="24"/>
                <w:szCs w:val="24"/>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074" w:type="dxa"/>
            <w:vMerge w:val="continue"/>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p>
        </w:tc>
        <w:tc>
          <w:tcPr>
            <w:tcW w:w="1730"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动植物油</w:t>
            </w:r>
          </w:p>
        </w:tc>
        <w:tc>
          <w:tcPr>
            <w:tcW w:w="4339" w:type="dxa"/>
            <w:vMerge w:val="continue"/>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p>
        </w:tc>
        <w:tc>
          <w:tcPr>
            <w:tcW w:w="1668" w:type="dxa"/>
            <w:vMerge w:val="continue"/>
            <w:vAlign w:val="center"/>
          </w:tcPr>
          <w:p>
            <w:pPr>
              <w:spacing w:line="240" w:lineRule="auto"/>
              <w:jc w:val="center"/>
              <w:rPr>
                <w:rFonts w:hint="default" w:ascii="Times New Roman" w:hAnsi="Times New Roman" w:cs="Times New Roman" w:eastAsiaTheme="minorEastAsia"/>
                <w:bCs/>
                <w:kern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074" w:type="dxa"/>
            <w:vMerge w:val="continue"/>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p>
        </w:tc>
        <w:tc>
          <w:tcPr>
            <w:tcW w:w="1730"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氨氮</w:t>
            </w:r>
          </w:p>
        </w:tc>
        <w:tc>
          <w:tcPr>
            <w:tcW w:w="4339"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纳氏试剂分光光度法HJ535-2009</w:t>
            </w:r>
          </w:p>
        </w:tc>
        <w:tc>
          <w:tcPr>
            <w:tcW w:w="1668" w:type="dxa"/>
            <w:vAlign w:val="center"/>
          </w:tcPr>
          <w:p>
            <w:pPr>
              <w:spacing w:line="240" w:lineRule="auto"/>
              <w:jc w:val="center"/>
              <w:rPr>
                <w:rFonts w:hint="default" w:ascii="Times New Roman" w:hAnsi="Times New Roman" w:cs="Times New Roman" w:eastAsiaTheme="minorEastAsia"/>
                <w:bCs/>
                <w:kern w:val="0"/>
                <w:sz w:val="24"/>
                <w:szCs w:val="24"/>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074"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eastAsia" w:ascii="Times New Roman" w:hAnsi="Times New Roman" w:cs="Times New Roman" w:eastAsiaTheme="minorEastAsia"/>
                <w:bCs/>
                <w:kern w:val="0"/>
                <w:sz w:val="21"/>
                <w:szCs w:val="21"/>
                <w:vertAlign w:val="baseline"/>
                <w:lang w:val="en-US" w:eastAsia="zh-CN"/>
              </w:rPr>
              <w:t>气</w:t>
            </w:r>
          </w:p>
        </w:tc>
        <w:tc>
          <w:tcPr>
            <w:tcW w:w="1730"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非甲烷总烃</w:t>
            </w:r>
          </w:p>
        </w:tc>
        <w:tc>
          <w:tcPr>
            <w:tcW w:w="4339"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气相色谱法 HJ/T38-1999</w:t>
            </w:r>
          </w:p>
        </w:tc>
        <w:tc>
          <w:tcPr>
            <w:tcW w:w="1668" w:type="dxa"/>
            <w:vAlign w:val="center"/>
          </w:tcPr>
          <w:p>
            <w:pPr>
              <w:spacing w:line="360" w:lineRule="auto"/>
              <w:jc w:val="center"/>
              <w:rPr>
                <w:rFonts w:hint="default" w:ascii="Times New Roman" w:hAnsi="Times New Roman" w:cs="Times New Roman" w:eastAsiaTheme="minorEastAsia"/>
                <w:bCs/>
                <w:kern w:val="0"/>
                <w:sz w:val="24"/>
                <w:szCs w:val="24"/>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0.04mg/m³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exact"/>
        </w:trPr>
        <w:tc>
          <w:tcPr>
            <w:tcW w:w="1074"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eastAsia" w:ascii="Times New Roman" w:hAnsi="Times New Roman" w:cs="Times New Roman" w:eastAsiaTheme="minorEastAsia"/>
                <w:bCs/>
                <w:kern w:val="0"/>
                <w:sz w:val="21"/>
                <w:szCs w:val="21"/>
                <w:vertAlign w:val="baseline"/>
                <w:lang w:val="en-US" w:eastAsia="zh-CN"/>
              </w:rPr>
              <w:t>声</w:t>
            </w:r>
          </w:p>
        </w:tc>
        <w:tc>
          <w:tcPr>
            <w:tcW w:w="1730"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噪声</w:t>
            </w:r>
          </w:p>
        </w:tc>
        <w:tc>
          <w:tcPr>
            <w:tcW w:w="4339" w:type="dxa"/>
            <w:vAlign w:val="center"/>
          </w:tcPr>
          <w:p>
            <w:pPr>
              <w:spacing w:line="24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《工业企业厂界环境噪声排放标准》GB12348-2008</w:t>
            </w:r>
          </w:p>
        </w:tc>
        <w:tc>
          <w:tcPr>
            <w:tcW w:w="1668" w:type="dxa"/>
            <w:vAlign w:val="center"/>
          </w:tcPr>
          <w:p>
            <w:pPr>
              <w:spacing w:line="360" w:lineRule="auto"/>
              <w:jc w:val="center"/>
              <w:rPr>
                <w:rFonts w:hint="default" w:ascii="Times New Roman" w:hAnsi="Times New Roman" w:cs="Times New Roman" w:eastAsiaTheme="minorEastAsia"/>
                <w:bCs/>
                <w:kern w:val="0"/>
                <w:sz w:val="24"/>
                <w:szCs w:val="24"/>
                <w:vertAlign w:val="baseline"/>
                <w:lang w:val="en-US" w:eastAsia="zh-CN"/>
              </w:rPr>
            </w:pPr>
            <w:r>
              <w:rPr>
                <w:rFonts w:hint="default" w:ascii="Times New Roman" w:hAnsi="Times New Roman" w:cs="Times New Roman" w:eastAsiaTheme="minorEastAsia"/>
                <w:bCs/>
                <w:kern w:val="0"/>
                <w:sz w:val="24"/>
                <w:szCs w:val="24"/>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1"/>
        <w:rPr>
          <w:rFonts w:hint="default" w:ascii="Times New Roman" w:hAnsi="Times New Roman" w:eastAsia="宋体" w:cs="Times New Roman"/>
          <w:b/>
          <w:sz w:val="28"/>
          <w:szCs w:val="28"/>
          <w:lang w:eastAsia="zh-CN"/>
        </w:rPr>
      </w:pPr>
    </w:p>
    <w:p>
      <w:pPr>
        <w:pStyle w:val="3"/>
        <w:keepNext/>
        <w:keepLines/>
        <w:pageBreakBefore w:val="0"/>
        <w:widowControl w:val="0"/>
        <w:kinsoku/>
        <w:wordWrap/>
        <w:overflowPunct/>
        <w:topLinePunct w:val="0"/>
        <w:autoSpaceDE/>
        <w:autoSpaceDN/>
        <w:bidi w:val="0"/>
        <w:adjustRightInd/>
        <w:snapToGrid/>
        <w:spacing w:before="157" w:beforeLines="50" w:after="0" w:afterLines="0" w:line="240" w:lineRule="auto"/>
        <w:ind w:left="0" w:leftChars="0" w:right="0" w:rightChars="0" w:firstLine="562" w:firstLineChars="200"/>
        <w:jc w:val="both"/>
        <w:textAlignment w:val="auto"/>
        <w:outlineLvl w:val="0"/>
        <w:rPr>
          <w:rFonts w:hint="default" w:ascii="Times New Roman" w:hAnsi="Times New Roman" w:cs="Times New Roman"/>
        </w:rPr>
      </w:pPr>
      <w:bookmarkStart w:id="102" w:name="_Toc3189"/>
      <w:bookmarkStart w:id="103" w:name="_Toc29693"/>
      <w:bookmarkStart w:id="104" w:name="_Toc5267"/>
      <w:r>
        <w:rPr>
          <w:rFonts w:hint="default" w:ascii="Times New Roman" w:hAnsi="Times New Roman" w:cs="Times New Roman"/>
          <w:lang w:eastAsia="zh-CN"/>
        </w:rPr>
        <w:t>七、</w:t>
      </w:r>
      <w:r>
        <w:rPr>
          <w:rFonts w:hint="default" w:ascii="Times New Roman" w:hAnsi="Times New Roman" w:cs="Times New Roman"/>
        </w:rPr>
        <w:t>监测结果</w:t>
      </w:r>
      <w:bookmarkEnd w:id="102"/>
      <w:bookmarkEnd w:id="103"/>
      <w:bookmarkEnd w:id="104"/>
    </w:p>
    <w:p>
      <w:pPr>
        <w:pStyle w:val="4"/>
        <w:keepNext/>
        <w:keepLines/>
        <w:pageBreakBefore w:val="0"/>
        <w:widowControl w:val="0"/>
        <w:kinsoku/>
        <w:wordWrap/>
        <w:overflowPunct/>
        <w:topLinePunct w:val="0"/>
        <w:autoSpaceDE/>
        <w:autoSpaceDN/>
        <w:bidi w:val="0"/>
        <w:adjustRightInd/>
        <w:snapToGrid/>
        <w:spacing w:before="0" w:beforeLines="0" w:after="157" w:afterLines="50" w:line="240" w:lineRule="auto"/>
        <w:ind w:left="0" w:leftChars="0" w:right="0" w:rightChars="0" w:firstLine="562" w:firstLineChars="200"/>
        <w:jc w:val="both"/>
        <w:textAlignment w:val="auto"/>
        <w:outlineLvl w:val="1"/>
        <w:rPr>
          <w:rFonts w:hint="default" w:ascii="Times New Roman" w:hAnsi="Times New Roman" w:cs="Times New Roman"/>
          <w:lang w:val="en-US" w:eastAsia="zh-CN"/>
        </w:rPr>
      </w:pPr>
      <w:bookmarkStart w:id="105" w:name="_Toc11649"/>
      <w:r>
        <w:rPr>
          <w:rFonts w:hint="default" w:ascii="Times New Roman" w:hAnsi="Times New Roman" w:cs="Times New Roman"/>
          <w:lang w:val="en-US" w:eastAsia="zh-CN"/>
        </w:rPr>
        <w:t>（一）生产工况</w:t>
      </w:r>
      <w:bookmarkEnd w:id="10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0"/>
          <w:sz w:val="28"/>
          <w:szCs w:val="28"/>
          <w14:textFill>
            <w14:solidFill>
              <w14:schemeClr w14:val="tx1"/>
            </w14:solidFill>
          </w14:textFill>
        </w:rPr>
      </w:pPr>
      <w:r>
        <w:rPr>
          <w:rFonts w:hint="default" w:ascii="Times New Roman" w:hAnsi="Times New Roman" w:cs="Times New Roman" w:eastAsiaTheme="minorEastAsia"/>
          <w:sz w:val="28"/>
          <w:szCs w:val="28"/>
          <w:lang w:eastAsia="zh-CN"/>
        </w:rPr>
        <w:t>中国石化销售有限公司贵州黔西南</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贞丰</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县</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城关加油站</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8"/>
          <w:szCs w:val="28"/>
          <w14:textFill>
            <w14:solidFill>
              <w14:schemeClr w14:val="tx1"/>
            </w14:solidFill>
          </w14:textFill>
        </w:rPr>
        <w:t>201</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8"/>
          <w:szCs w:val="28"/>
          <w14:textFill>
            <w14:solidFill>
              <w14:schemeClr w14:val="tx1"/>
            </w14:solidFill>
          </w14:textFill>
        </w:rPr>
        <w:t>年</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8"/>
          <w:szCs w:val="28"/>
          <w14:textFill>
            <w14:solidFill>
              <w14:schemeClr w14:val="tx1"/>
            </w14:solidFill>
          </w14:textFill>
        </w:rPr>
        <w:t>月</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17</w:t>
      </w:r>
      <w:r>
        <w:rPr>
          <w:rFonts w:hint="default" w:ascii="Times New Roman" w:hAnsi="Times New Roman" w:eastAsia="宋体" w:cs="Times New Roman"/>
          <w:color w:val="000000" w:themeColor="text1"/>
          <w:kern w:val="0"/>
          <w:sz w:val="28"/>
          <w:szCs w:val="28"/>
          <w14:textFill>
            <w14:solidFill>
              <w14:schemeClr w14:val="tx1"/>
            </w14:solidFill>
          </w14:textFill>
        </w:rPr>
        <w:t>～</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18</w:t>
      </w:r>
      <w:r>
        <w:rPr>
          <w:rFonts w:hint="default" w:ascii="Times New Roman" w:hAnsi="Times New Roman" w:eastAsia="宋体" w:cs="Times New Roman"/>
          <w:color w:val="000000" w:themeColor="text1"/>
          <w:kern w:val="0"/>
          <w:sz w:val="28"/>
          <w:szCs w:val="28"/>
          <w14:textFill>
            <w14:solidFill>
              <w14:schemeClr w14:val="tx1"/>
            </w14:solidFill>
          </w14:textFill>
        </w:rPr>
        <w:t>日</w:t>
      </w:r>
      <w:r>
        <w:rPr>
          <w:rFonts w:hint="default" w:ascii="Times New Roman" w:hAnsi="Times New Roman" w:eastAsia="宋体" w:cs="Times New Roman"/>
          <w:color w:val="000000" w:themeColor="text1"/>
          <w:kern w:val="0"/>
          <w:sz w:val="28"/>
          <w:szCs w:val="28"/>
          <w:lang w:eastAsia="zh-CN"/>
          <w14:textFill>
            <w14:solidFill>
              <w14:schemeClr w14:val="tx1"/>
            </w14:solidFill>
          </w14:textFill>
        </w:rPr>
        <w:t>运营设备和环保设施运行正常，验收期间平均每日加油量</w:t>
      </w:r>
      <w:r>
        <w:rPr>
          <w:rFonts w:hint="eastAsia" w:ascii="Times New Roman" w:hAnsi="Times New Roman" w:eastAsia="宋体" w:cs="Times New Roman"/>
          <w:color w:val="000000" w:themeColor="text1"/>
          <w:kern w:val="0"/>
          <w:sz w:val="28"/>
          <w:szCs w:val="28"/>
          <w:lang w:eastAsia="zh-CN"/>
          <w14:textFill>
            <w14:solidFill>
              <w14:schemeClr w14:val="tx1"/>
            </w14:solidFill>
          </w14:textFill>
        </w:rPr>
        <w:t>汽油约</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1.75万升，柴油约5千升</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w:t>
      </w:r>
    </w:p>
    <w:p>
      <w:pPr>
        <w:pStyle w:val="4"/>
        <w:rPr>
          <w:rFonts w:hint="default" w:ascii="Times New Roman" w:hAnsi="Times New Roman" w:cs="Times New Roman"/>
        </w:rPr>
      </w:pPr>
      <w:bookmarkStart w:id="106" w:name="_Toc27014"/>
      <w:bookmarkStart w:id="107" w:name="_Toc14481"/>
      <w:bookmarkStart w:id="108" w:name="_Toc26105"/>
      <w:bookmarkStart w:id="109" w:name="_Toc6900"/>
      <w:r>
        <w:rPr>
          <w:rFonts w:hint="default" w:ascii="Times New Roman" w:hAnsi="Times New Roman" w:cs="Times New Roman"/>
          <w:lang w:val="en-US" w:eastAsia="zh-CN"/>
        </w:rPr>
        <w:t>（二）</w:t>
      </w:r>
      <w:r>
        <w:rPr>
          <w:rFonts w:hint="default" w:ascii="Times New Roman" w:hAnsi="Times New Roman" w:cs="Times New Roman"/>
        </w:rPr>
        <w:t>质量保证</w:t>
      </w:r>
      <w:bookmarkEnd w:id="106"/>
      <w:bookmarkEnd w:id="107"/>
      <w:bookmarkEnd w:id="108"/>
      <w:bookmarkEnd w:id="10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（1）监测人员持证上岗。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（2）合理布设监测点，保证各监测点位布设的科学性和可比性。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（3）采样人员必须遵守采样操作规程，认真填写采样记录，按规定保存、运输样品。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（4）分析法均用国家标准或国家环保部颁布的分析方法，所有监测仪器、量具经过计量部门检定合格并在有效期内。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（5）监测数据严格实行三级审核制度。</w:t>
      </w:r>
      <w:bookmarkStart w:id="110" w:name="_Toc21729"/>
      <w:bookmarkStart w:id="111" w:name="_Toc2839"/>
      <w:bookmarkStart w:id="112" w:name="_Toc2567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）样品测定采用质控样控制，控制结果均在允许误差范围内，检测数据受控，质控结果见表5。检测数据严格实行三级审核制度。</w:t>
      </w:r>
    </w:p>
    <w:p>
      <w:pPr>
        <w:pStyle w:val="2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562" w:firstLineChars="200"/>
        <w:jc w:val="center"/>
        <w:textAlignment w:val="auto"/>
        <w:outlineLvl w:val="9"/>
        <w:rPr>
          <w:rFonts w:hint="default" w:ascii="Times New Roman" w:hAnsi="Times New Roman" w:cs="Times New Roman" w:eastAsiaTheme="minorEastAsia"/>
          <w:b/>
          <w:bCs/>
          <w:color w:val="auto"/>
          <w:sz w:val="28"/>
          <w:szCs w:val="28"/>
          <w:highlight w:val="none"/>
          <w:lang w:val="en-US" w:eastAsia="zh-CN"/>
        </w:rPr>
      </w:pPr>
      <w:r>
        <w:rPr>
          <w:rFonts w:hint="default" w:ascii="Times New Roman" w:hAnsi="Times New Roman" w:cs="Times New Roman" w:eastAsiaTheme="minorEastAsia"/>
          <w:b/>
          <w:bCs/>
          <w:color w:val="auto"/>
          <w:sz w:val="28"/>
          <w:szCs w:val="28"/>
          <w:highlight w:val="none"/>
          <w:lang w:val="en-US" w:eastAsia="zh-CN"/>
        </w:rPr>
        <w:t>表5质控检测结果</w:t>
      </w:r>
    </w:p>
    <w:tbl>
      <w:tblPr>
        <w:tblStyle w:val="16"/>
        <w:tblW w:w="9740" w:type="dxa"/>
        <w:jc w:val="center"/>
        <w:tblInd w:w="-3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948"/>
        <w:gridCol w:w="1390"/>
        <w:gridCol w:w="1548"/>
        <w:gridCol w:w="1608"/>
        <w:gridCol w:w="1430"/>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12" w:type="dxa"/>
            <w:vAlign w:val="center"/>
          </w:tcPr>
          <w:p>
            <w:pPr>
              <w:adjustRightInd w:val="0"/>
              <w:snapToGrid w:val="0"/>
              <w:spacing w:line="300" w:lineRule="exact"/>
              <w:jc w:val="center"/>
              <w:rPr>
                <w:rFonts w:hint="default" w:ascii="Times New Roman" w:hAnsi="Times New Roman" w:cs="Times New Roman" w:eastAsiaTheme="minorEastAsia"/>
                <w:bCs/>
                <w:snapToGrid w:val="0"/>
                <w:color w:val="auto"/>
                <w:kern w:val="0"/>
                <w:sz w:val="21"/>
                <w:szCs w:val="21"/>
              </w:rPr>
            </w:pPr>
            <w:r>
              <w:rPr>
                <w:rFonts w:hint="default" w:ascii="Times New Roman" w:hAnsi="Times New Roman" w:cs="Times New Roman" w:eastAsiaTheme="minorEastAsia"/>
                <w:bCs/>
                <w:snapToGrid w:val="0"/>
                <w:color w:val="auto"/>
                <w:kern w:val="0"/>
                <w:sz w:val="21"/>
                <w:szCs w:val="21"/>
              </w:rPr>
              <w:t>序号</w:t>
            </w:r>
          </w:p>
        </w:tc>
        <w:tc>
          <w:tcPr>
            <w:tcW w:w="1948" w:type="dxa"/>
            <w:vAlign w:val="center"/>
          </w:tcPr>
          <w:p>
            <w:pPr>
              <w:adjustRightInd w:val="0"/>
              <w:snapToGrid w:val="0"/>
              <w:spacing w:line="300" w:lineRule="exact"/>
              <w:jc w:val="center"/>
              <w:rPr>
                <w:rFonts w:hint="default" w:ascii="Times New Roman" w:hAnsi="Times New Roman" w:cs="Times New Roman" w:eastAsiaTheme="minorEastAsia"/>
                <w:bCs/>
                <w:snapToGrid w:val="0"/>
                <w:color w:val="auto"/>
                <w:kern w:val="0"/>
                <w:sz w:val="21"/>
                <w:szCs w:val="21"/>
              </w:rPr>
            </w:pPr>
            <w:r>
              <w:rPr>
                <w:rFonts w:hint="default" w:ascii="Times New Roman" w:hAnsi="Times New Roman" w:cs="Times New Roman" w:eastAsiaTheme="minorEastAsia"/>
                <w:bCs/>
                <w:snapToGrid w:val="0"/>
                <w:color w:val="auto"/>
                <w:kern w:val="0"/>
                <w:sz w:val="21"/>
                <w:szCs w:val="21"/>
                <w:lang w:eastAsia="zh-CN"/>
              </w:rPr>
              <w:t>检</w:t>
            </w:r>
            <w:r>
              <w:rPr>
                <w:rFonts w:hint="default" w:ascii="Times New Roman" w:hAnsi="Times New Roman" w:cs="Times New Roman" w:eastAsiaTheme="minorEastAsia"/>
                <w:bCs/>
                <w:snapToGrid w:val="0"/>
                <w:color w:val="auto"/>
                <w:kern w:val="0"/>
                <w:sz w:val="21"/>
                <w:szCs w:val="21"/>
              </w:rPr>
              <w:t>测项目</w:t>
            </w:r>
          </w:p>
        </w:tc>
        <w:tc>
          <w:tcPr>
            <w:tcW w:w="1390" w:type="dxa"/>
            <w:vAlign w:val="center"/>
          </w:tcPr>
          <w:p>
            <w:pPr>
              <w:adjustRightInd w:val="0"/>
              <w:snapToGrid w:val="0"/>
              <w:spacing w:line="240" w:lineRule="auto"/>
              <w:jc w:val="center"/>
              <w:rPr>
                <w:rFonts w:hint="default" w:ascii="Times New Roman" w:hAnsi="Times New Roman" w:cs="Times New Roman" w:eastAsiaTheme="minorEastAsia"/>
                <w:snapToGrid w:val="0"/>
                <w:color w:val="auto"/>
                <w:kern w:val="0"/>
                <w:sz w:val="21"/>
                <w:szCs w:val="21"/>
                <w:lang w:eastAsia="zh-CN"/>
              </w:rPr>
            </w:pPr>
            <w:r>
              <w:rPr>
                <w:rFonts w:hint="default" w:ascii="Times New Roman" w:hAnsi="Times New Roman" w:cs="Times New Roman" w:eastAsiaTheme="minorEastAsia"/>
                <w:snapToGrid w:val="0"/>
                <w:color w:val="auto"/>
                <w:kern w:val="0"/>
                <w:sz w:val="21"/>
                <w:szCs w:val="21"/>
                <w:lang w:eastAsia="zh-CN"/>
              </w:rPr>
              <w:t>单位</w:t>
            </w:r>
          </w:p>
        </w:tc>
        <w:tc>
          <w:tcPr>
            <w:tcW w:w="1548" w:type="dxa"/>
            <w:vAlign w:val="center"/>
          </w:tcPr>
          <w:p>
            <w:pPr>
              <w:adjustRightInd w:val="0"/>
              <w:snapToGrid w:val="0"/>
              <w:spacing w:line="240" w:lineRule="auto"/>
              <w:jc w:val="center"/>
              <w:rPr>
                <w:rFonts w:hint="default" w:ascii="Times New Roman" w:hAnsi="Times New Roman" w:cs="Times New Roman" w:eastAsiaTheme="minorEastAsia"/>
                <w:snapToGrid w:val="0"/>
                <w:color w:val="auto"/>
                <w:kern w:val="0"/>
                <w:sz w:val="21"/>
                <w:szCs w:val="21"/>
              </w:rPr>
            </w:pPr>
            <w:r>
              <w:rPr>
                <w:rFonts w:hint="default" w:ascii="Times New Roman" w:hAnsi="Times New Roman" w:cs="Times New Roman" w:eastAsiaTheme="minorEastAsia"/>
                <w:snapToGrid w:val="0"/>
                <w:color w:val="auto"/>
                <w:kern w:val="0"/>
                <w:sz w:val="21"/>
                <w:szCs w:val="21"/>
              </w:rPr>
              <w:t>编号</w:t>
            </w:r>
          </w:p>
        </w:tc>
        <w:tc>
          <w:tcPr>
            <w:tcW w:w="1608" w:type="dxa"/>
            <w:vAlign w:val="center"/>
          </w:tcPr>
          <w:p>
            <w:pPr>
              <w:adjustRightInd w:val="0"/>
              <w:snapToGrid w:val="0"/>
              <w:spacing w:line="240" w:lineRule="auto"/>
              <w:jc w:val="center"/>
              <w:rPr>
                <w:rFonts w:hint="default" w:ascii="Times New Roman" w:hAnsi="Times New Roman" w:cs="Times New Roman" w:eastAsiaTheme="minorEastAsia"/>
                <w:snapToGrid w:val="0"/>
                <w:color w:val="auto"/>
                <w:kern w:val="0"/>
                <w:sz w:val="21"/>
                <w:szCs w:val="21"/>
              </w:rPr>
            </w:pPr>
            <w:r>
              <w:rPr>
                <w:rFonts w:hint="default" w:ascii="Times New Roman" w:hAnsi="Times New Roman" w:cs="Times New Roman" w:eastAsiaTheme="minorEastAsia"/>
                <w:snapToGrid w:val="0"/>
                <w:color w:val="auto"/>
                <w:kern w:val="0"/>
                <w:sz w:val="21"/>
                <w:szCs w:val="21"/>
                <w:lang w:eastAsia="zh-CN"/>
              </w:rPr>
              <w:t>检测结果</w:t>
            </w:r>
          </w:p>
        </w:tc>
        <w:tc>
          <w:tcPr>
            <w:tcW w:w="1430" w:type="dxa"/>
            <w:vAlign w:val="center"/>
          </w:tcPr>
          <w:p>
            <w:pPr>
              <w:adjustRightInd w:val="0"/>
              <w:snapToGrid w:val="0"/>
              <w:spacing w:line="240" w:lineRule="auto"/>
              <w:jc w:val="center"/>
              <w:rPr>
                <w:rFonts w:hint="default" w:ascii="Times New Roman" w:hAnsi="Times New Roman" w:cs="Times New Roman" w:eastAsiaTheme="minorEastAsia"/>
                <w:snapToGrid w:val="0"/>
                <w:color w:val="auto"/>
                <w:kern w:val="0"/>
                <w:sz w:val="21"/>
                <w:szCs w:val="21"/>
                <w:lang w:eastAsia="zh-CN"/>
              </w:rPr>
            </w:pPr>
            <w:r>
              <w:rPr>
                <w:rFonts w:hint="default" w:ascii="Times New Roman" w:hAnsi="Times New Roman" w:cs="Times New Roman" w:eastAsiaTheme="minorEastAsia"/>
                <w:snapToGrid w:val="0"/>
                <w:color w:val="auto"/>
                <w:kern w:val="0"/>
                <w:sz w:val="21"/>
                <w:szCs w:val="21"/>
              </w:rPr>
              <w:t>标准浓度</w:t>
            </w:r>
          </w:p>
        </w:tc>
        <w:tc>
          <w:tcPr>
            <w:tcW w:w="1104" w:type="dxa"/>
            <w:vAlign w:val="center"/>
          </w:tcPr>
          <w:p>
            <w:pPr>
              <w:adjustRightInd w:val="0"/>
              <w:snapToGrid w:val="0"/>
              <w:spacing w:line="240" w:lineRule="auto"/>
              <w:jc w:val="center"/>
              <w:rPr>
                <w:rFonts w:hint="default" w:ascii="Times New Roman" w:hAnsi="Times New Roman" w:cs="Times New Roman" w:eastAsiaTheme="minorEastAsia"/>
                <w:snapToGrid w:val="0"/>
                <w:color w:val="auto"/>
                <w:kern w:val="0"/>
                <w:sz w:val="21"/>
                <w:szCs w:val="21"/>
                <w:lang w:eastAsia="zh-CN"/>
              </w:rPr>
            </w:pPr>
            <w:r>
              <w:rPr>
                <w:rFonts w:hint="default" w:ascii="Times New Roman" w:hAnsi="Times New Roman" w:cs="Times New Roman" w:eastAsiaTheme="minorEastAsia"/>
                <w:snapToGrid w:val="0"/>
                <w:color w:val="auto"/>
                <w:kern w:val="0"/>
                <w:sz w:val="21"/>
                <w:szCs w:val="21"/>
                <w:lang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12" w:type="dxa"/>
            <w:vAlign w:val="center"/>
          </w:tcPr>
          <w:p>
            <w:pPr>
              <w:numPr>
                <w:ilvl w:val="0"/>
                <w:numId w:val="0"/>
              </w:numPr>
              <w:tabs>
                <w:tab w:val="left" w:pos="0"/>
              </w:tabs>
              <w:adjustRightInd w:val="0"/>
              <w:snapToGrid w:val="0"/>
              <w:spacing w:line="300" w:lineRule="exact"/>
              <w:ind w:left="80" w:leftChars="0"/>
              <w:jc w:val="center"/>
              <w:rPr>
                <w:rFonts w:hint="default" w:ascii="Times New Roman" w:hAnsi="Times New Roman" w:cs="Times New Roman" w:eastAsiaTheme="minorEastAsia"/>
                <w:bCs/>
                <w:snapToGrid w:val="0"/>
                <w:color w:val="auto"/>
                <w:kern w:val="0"/>
                <w:sz w:val="21"/>
                <w:szCs w:val="21"/>
                <w:highlight w:val="none"/>
                <w:lang w:val="en-US" w:eastAsia="zh-CN"/>
              </w:rPr>
            </w:pPr>
            <w:r>
              <w:rPr>
                <w:rFonts w:hint="eastAsia" w:ascii="Times New Roman" w:hAnsi="Times New Roman" w:cs="Times New Roman" w:eastAsiaTheme="minorEastAsia"/>
                <w:bCs/>
                <w:snapToGrid w:val="0"/>
                <w:color w:val="auto"/>
                <w:kern w:val="0"/>
                <w:sz w:val="21"/>
                <w:szCs w:val="21"/>
                <w:highlight w:val="none"/>
                <w:lang w:val="en-US" w:eastAsia="zh-CN"/>
              </w:rPr>
              <w:t>1</w:t>
            </w:r>
          </w:p>
        </w:tc>
        <w:tc>
          <w:tcPr>
            <w:tcW w:w="1948"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eastAsiaTheme="minorEastAsia"/>
                <w:bCs/>
                <w:snapToGrid w:val="0"/>
                <w:color w:val="auto"/>
                <w:kern w:val="0"/>
                <w:sz w:val="21"/>
                <w:szCs w:val="21"/>
                <w:highlight w:val="none"/>
                <w:lang w:val="en-US" w:eastAsia="zh-CN"/>
              </w:rPr>
            </w:pPr>
            <w:r>
              <w:rPr>
                <w:rFonts w:hint="default" w:ascii="Times New Roman" w:hAnsi="Times New Roman" w:cs="Times New Roman" w:eastAsiaTheme="minorEastAsia"/>
                <w:bCs/>
                <w:snapToGrid w:val="0"/>
                <w:color w:val="auto"/>
                <w:kern w:val="0"/>
                <w:sz w:val="21"/>
                <w:szCs w:val="21"/>
                <w:highlight w:val="none"/>
                <w:lang w:val="en-US" w:eastAsia="zh-CN"/>
              </w:rPr>
              <w:t>pH</w:t>
            </w:r>
          </w:p>
        </w:tc>
        <w:tc>
          <w:tcPr>
            <w:tcW w:w="139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1548" w:type="dxa"/>
            <w:vAlign w:val="center"/>
          </w:tcPr>
          <w:p>
            <w:pPr>
              <w:jc w:val="center"/>
              <w:rPr>
                <w:rFonts w:hint="default" w:ascii="Times New Roman" w:hAnsi="Times New Roman" w:cs="Times New Roman" w:eastAsiaTheme="minorEastAsia"/>
                <w:bCs/>
                <w:snapToGrid w:val="0"/>
                <w:color w:val="auto"/>
                <w:kern w:val="0"/>
                <w:sz w:val="21"/>
                <w:szCs w:val="21"/>
                <w:highlight w:val="none"/>
                <w:lang w:val="en-US" w:eastAsia="zh-CN"/>
              </w:rPr>
            </w:pPr>
            <w:r>
              <w:rPr>
                <w:rFonts w:hint="default" w:ascii="Times New Roman" w:hAnsi="Times New Roman" w:cs="Times New Roman" w:eastAsiaTheme="minorEastAsia"/>
                <w:bCs/>
                <w:snapToGrid w:val="0"/>
                <w:color w:val="auto"/>
                <w:kern w:val="0"/>
                <w:sz w:val="21"/>
                <w:szCs w:val="21"/>
                <w:highlight w:val="none"/>
                <w:lang w:val="en-US" w:eastAsia="zh-CN"/>
              </w:rPr>
              <w:t>202168</w:t>
            </w:r>
          </w:p>
        </w:tc>
        <w:tc>
          <w:tcPr>
            <w:tcW w:w="1608" w:type="dxa"/>
            <w:vAlign w:val="center"/>
          </w:tcPr>
          <w:p>
            <w:pPr>
              <w:jc w:val="cente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pPr>
            <w:r>
              <w:rPr>
                <w:rFonts w:hint="default" w:ascii="Times New Roman" w:hAnsi="Times New Roman" w:cs="Times New Roman" w:eastAsiaTheme="minorEastAsia"/>
                <w:color w:val="auto"/>
                <w:kern w:val="0"/>
                <w:sz w:val="21"/>
                <w:szCs w:val="21"/>
                <w:highlight w:val="none"/>
                <w:lang w:val="en-US" w:eastAsia="zh-CN"/>
              </w:rPr>
              <w:t>7.3</w:t>
            </w:r>
            <w:r>
              <w:rPr>
                <w:rFonts w:hint="eastAsia" w:ascii="Times New Roman" w:hAnsi="Times New Roman" w:cs="Times New Roman" w:eastAsiaTheme="minorEastAsia"/>
                <w:color w:val="auto"/>
                <w:kern w:val="0"/>
                <w:sz w:val="21"/>
                <w:szCs w:val="21"/>
                <w:highlight w:val="none"/>
                <w:lang w:val="en-US" w:eastAsia="zh-CN"/>
              </w:rPr>
              <w:t>6</w:t>
            </w:r>
          </w:p>
        </w:tc>
        <w:tc>
          <w:tcPr>
            <w:tcW w:w="143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t>7.36±0.05</w:t>
            </w:r>
          </w:p>
        </w:tc>
        <w:tc>
          <w:tcPr>
            <w:tcW w:w="1104"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12" w:type="dxa"/>
            <w:vAlign w:val="center"/>
          </w:tcPr>
          <w:p>
            <w:pPr>
              <w:numPr>
                <w:ilvl w:val="0"/>
                <w:numId w:val="0"/>
              </w:numPr>
              <w:tabs>
                <w:tab w:val="left" w:pos="0"/>
              </w:tabs>
              <w:adjustRightInd w:val="0"/>
              <w:snapToGrid w:val="0"/>
              <w:spacing w:line="300" w:lineRule="exact"/>
              <w:ind w:left="80" w:leftChars="0"/>
              <w:jc w:val="center"/>
              <w:rPr>
                <w:rFonts w:hint="default" w:ascii="Times New Roman" w:hAnsi="Times New Roman" w:cs="Times New Roman" w:eastAsiaTheme="minorEastAsia"/>
                <w:bCs/>
                <w:snapToGrid w:val="0"/>
                <w:color w:val="auto"/>
                <w:kern w:val="0"/>
                <w:sz w:val="21"/>
                <w:szCs w:val="21"/>
                <w:highlight w:val="none"/>
                <w:lang w:val="en-US" w:eastAsia="zh-CN"/>
              </w:rPr>
            </w:pPr>
            <w:r>
              <w:rPr>
                <w:rFonts w:hint="eastAsia" w:ascii="Times New Roman" w:hAnsi="Times New Roman" w:cs="Times New Roman" w:eastAsiaTheme="minorEastAsia"/>
                <w:bCs/>
                <w:snapToGrid w:val="0"/>
                <w:color w:val="auto"/>
                <w:kern w:val="0"/>
                <w:sz w:val="21"/>
                <w:szCs w:val="21"/>
                <w:highlight w:val="none"/>
                <w:lang w:val="en-US" w:eastAsia="zh-CN"/>
              </w:rPr>
              <w:t>2</w:t>
            </w:r>
          </w:p>
        </w:tc>
        <w:tc>
          <w:tcPr>
            <w:tcW w:w="1948"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eastAsiaTheme="minorEastAsia"/>
                <w:bCs/>
                <w:snapToGrid w:val="0"/>
                <w:color w:val="auto"/>
                <w:kern w:val="0"/>
                <w:sz w:val="21"/>
                <w:szCs w:val="21"/>
                <w:highlight w:val="none"/>
                <w:lang w:val="en-US" w:eastAsia="zh-CN"/>
              </w:rPr>
            </w:pPr>
            <w:r>
              <w:rPr>
                <w:rFonts w:hint="default" w:ascii="Times New Roman" w:hAnsi="Times New Roman" w:cs="Times New Roman" w:eastAsiaTheme="minorEastAsia"/>
                <w:bCs/>
                <w:snapToGrid w:val="0"/>
                <w:color w:val="auto"/>
                <w:kern w:val="0"/>
                <w:sz w:val="21"/>
                <w:szCs w:val="21"/>
                <w:highlight w:val="none"/>
                <w:lang w:val="en-US" w:eastAsia="zh-CN"/>
              </w:rPr>
              <w:t>石油类</w:t>
            </w:r>
          </w:p>
        </w:tc>
        <w:tc>
          <w:tcPr>
            <w:tcW w:w="139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1548" w:type="dxa"/>
            <w:vAlign w:val="center"/>
          </w:tcPr>
          <w:p>
            <w:pPr>
              <w:jc w:val="center"/>
              <w:rPr>
                <w:rFonts w:hint="default" w:ascii="Times New Roman" w:hAnsi="Times New Roman" w:cs="Times New Roman" w:eastAsiaTheme="minorEastAsia"/>
                <w:bCs/>
                <w:snapToGrid w:val="0"/>
                <w:color w:val="auto"/>
                <w:kern w:val="0"/>
                <w:sz w:val="21"/>
                <w:szCs w:val="21"/>
                <w:highlight w:val="none"/>
                <w:lang w:val="en-US" w:eastAsia="zh-CN"/>
              </w:rPr>
            </w:pPr>
            <w:r>
              <w:rPr>
                <w:rFonts w:hint="default" w:ascii="Times New Roman" w:hAnsi="Times New Roman" w:cs="Times New Roman" w:eastAsiaTheme="minorEastAsia"/>
                <w:bCs/>
                <w:snapToGrid w:val="0"/>
                <w:color w:val="auto"/>
                <w:kern w:val="0"/>
                <w:sz w:val="21"/>
                <w:szCs w:val="21"/>
                <w:highlight w:val="none"/>
                <w:lang w:val="en-US" w:eastAsia="zh-CN"/>
              </w:rPr>
              <w:t>205959</w:t>
            </w:r>
          </w:p>
        </w:tc>
        <w:tc>
          <w:tcPr>
            <w:tcW w:w="1608" w:type="dxa"/>
            <w:vAlign w:val="center"/>
          </w:tcPr>
          <w:p>
            <w:pPr>
              <w:jc w:val="cente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pPr>
            <w:r>
              <w:rPr>
                <w:rFonts w:hint="eastAsia" w:ascii="Times New Roman" w:hAnsi="Times New Roman" w:cs="Times New Roman" w:eastAsiaTheme="minorEastAsia"/>
                <w:b w:val="0"/>
                <w:bCs/>
                <w:snapToGrid w:val="0"/>
                <w:color w:val="auto"/>
                <w:kern w:val="0"/>
                <w:sz w:val="21"/>
                <w:szCs w:val="21"/>
                <w:highlight w:val="none"/>
                <w:vertAlign w:val="baseline"/>
                <w:lang w:val="en-US" w:eastAsia="zh-CN"/>
              </w:rPr>
              <w:t>25.8</w:t>
            </w:r>
          </w:p>
        </w:tc>
        <w:tc>
          <w:tcPr>
            <w:tcW w:w="143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t>25.9±3.4</w:t>
            </w:r>
          </w:p>
        </w:tc>
        <w:tc>
          <w:tcPr>
            <w:tcW w:w="1104"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12" w:type="dxa"/>
            <w:vAlign w:val="center"/>
          </w:tcPr>
          <w:p>
            <w:pPr>
              <w:numPr>
                <w:ilvl w:val="0"/>
                <w:numId w:val="0"/>
              </w:numPr>
              <w:tabs>
                <w:tab w:val="left" w:pos="0"/>
              </w:tabs>
              <w:adjustRightInd w:val="0"/>
              <w:snapToGrid w:val="0"/>
              <w:spacing w:line="300" w:lineRule="exact"/>
              <w:ind w:left="80" w:leftChars="0"/>
              <w:jc w:val="center"/>
              <w:rPr>
                <w:rFonts w:hint="default" w:ascii="Times New Roman" w:hAnsi="Times New Roman" w:cs="Times New Roman" w:eastAsiaTheme="minorEastAsia"/>
                <w:bCs/>
                <w:snapToGrid w:val="0"/>
                <w:color w:val="auto"/>
                <w:kern w:val="0"/>
                <w:sz w:val="21"/>
                <w:szCs w:val="21"/>
                <w:highlight w:val="none"/>
                <w:lang w:val="en-US" w:eastAsia="zh-CN"/>
              </w:rPr>
            </w:pPr>
            <w:r>
              <w:rPr>
                <w:rFonts w:hint="eastAsia" w:ascii="Times New Roman" w:hAnsi="Times New Roman" w:cs="Times New Roman" w:eastAsiaTheme="minorEastAsia"/>
                <w:bCs/>
                <w:snapToGrid w:val="0"/>
                <w:color w:val="auto"/>
                <w:kern w:val="0"/>
                <w:sz w:val="21"/>
                <w:szCs w:val="21"/>
                <w:highlight w:val="none"/>
                <w:lang w:val="en-US" w:eastAsia="zh-CN"/>
              </w:rPr>
              <w:t>3</w:t>
            </w:r>
          </w:p>
        </w:tc>
        <w:tc>
          <w:tcPr>
            <w:tcW w:w="1948"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eastAsiaTheme="minorEastAsia"/>
                <w:bCs/>
                <w:snapToGrid w:val="0"/>
                <w:color w:val="auto"/>
                <w:kern w:val="0"/>
                <w:sz w:val="21"/>
                <w:szCs w:val="21"/>
                <w:highlight w:val="none"/>
                <w:lang w:val="en-US" w:eastAsia="zh-CN"/>
              </w:rPr>
            </w:pPr>
            <w:r>
              <w:rPr>
                <w:rFonts w:hint="eastAsia" w:ascii="Times New Roman" w:hAnsi="Times New Roman" w:cs="Times New Roman" w:eastAsiaTheme="minorEastAsia"/>
                <w:bCs/>
                <w:snapToGrid w:val="0"/>
                <w:color w:val="auto"/>
                <w:kern w:val="0"/>
                <w:sz w:val="21"/>
                <w:szCs w:val="21"/>
                <w:highlight w:val="none"/>
                <w:lang w:val="en-US" w:eastAsia="zh-CN"/>
              </w:rPr>
              <w:t>动植物油</w:t>
            </w:r>
          </w:p>
        </w:tc>
        <w:tc>
          <w:tcPr>
            <w:tcW w:w="139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1548" w:type="dxa"/>
            <w:vAlign w:val="center"/>
          </w:tcPr>
          <w:p>
            <w:pPr>
              <w:jc w:val="center"/>
              <w:rPr>
                <w:rFonts w:hint="default" w:ascii="Times New Roman" w:hAnsi="Times New Roman" w:cs="Times New Roman" w:eastAsiaTheme="minorEastAsia"/>
                <w:bCs/>
                <w:snapToGrid w:val="0"/>
                <w:color w:val="auto"/>
                <w:kern w:val="0"/>
                <w:sz w:val="21"/>
                <w:szCs w:val="21"/>
                <w:highlight w:val="none"/>
                <w:lang w:val="en-US" w:eastAsia="zh-CN"/>
              </w:rPr>
            </w:pPr>
            <w:r>
              <w:rPr>
                <w:rFonts w:hint="default" w:ascii="Times New Roman" w:hAnsi="Times New Roman" w:cs="Times New Roman" w:eastAsiaTheme="minorEastAsia"/>
                <w:bCs/>
                <w:snapToGrid w:val="0"/>
                <w:color w:val="auto"/>
                <w:kern w:val="0"/>
                <w:sz w:val="21"/>
                <w:szCs w:val="21"/>
                <w:highlight w:val="none"/>
                <w:lang w:val="en-US" w:eastAsia="zh-CN"/>
              </w:rPr>
              <w:t>205959</w:t>
            </w:r>
          </w:p>
        </w:tc>
        <w:tc>
          <w:tcPr>
            <w:tcW w:w="1608" w:type="dxa"/>
            <w:vAlign w:val="center"/>
          </w:tcPr>
          <w:p>
            <w:pPr>
              <w:jc w:val="cente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pPr>
            <w:r>
              <w:rPr>
                <w:rFonts w:hint="eastAsia" w:ascii="Times New Roman" w:hAnsi="Times New Roman" w:cs="Times New Roman" w:eastAsiaTheme="minorEastAsia"/>
                <w:b w:val="0"/>
                <w:bCs/>
                <w:snapToGrid w:val="0"/>
                <w:color w:val="auto"/>
                <w:kern w:val="0"/>
                <w:sz w:val="21"/>
                <w:szCs w:val="21"/>
                <w:highlight w:val="none"/>
                <w:vertAlign w:val="baseline"/>
                <w:lang w:val="en-US" w:eastAsia="zh-CN"/>
              </w:rPr>
              <w:t>25.8</w:t>
            </w:r>
          </w:p>
        </w:tc>
        <w:tc>
          <w:tcPr>
            <w:tcW w:w="143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t>25.9±3.4</w:t>
            </w:r>
          </w:p>
        </w:tc>
        <w:tc>
          <w:tcPr>
            <w:tcW w:w="1104"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12" w:type="dxa"/>
            <w:vAlign w:val="center"/>
          </w:tcPr>
          <w:p>
            <w:pPr>
              <w:numPr>
                <w:ilvl w:val="0"/>
                <w:numId w:val="0"/>
              </w:numPr>
              <w:tabs>
                <w:tab w:val="left" w:pos="0"/>
              </w:tabs>
              <w:adjustRightInd w:val="0"/>
              <w:snapToGrid w:val="0"/>
              <w:spacing w:line="300" w:lineRule="exact"/>
              <w:ind w:left="80" w:leftChars="0"/>
              <w:jc w:val="center"/>
              <w:rPr>
                <w:rFonts w:hint="default" w:ascii="Times New Roman" w:hAnsi="Times New Roman" w:cs="Times New Roman" w:eastAsiaTheme="minorEastAsia"/>
                <w:bCs/>
                <w:snapToGrid w:val="0"/>
                <w:color w:val="auto"/>
                <w:kern w:val="0"/>
                <w:sz w:val="21"/>
                <w:szCs w:val="21"/>
                <w:highlight w:val="none"/>
                <w:lang w:val="en-US" w:eastAsia="zh-CN"/>
              </w:rPr>
            </w:pPr>
            <w:r>
              <w:rPr>
                <w:rFonts w:hint="eastAsia" w:ascii="Times New Roman" w:hAnsi="Times New Roman" w:cs="Times New Roman" w:eastAsiaTheme="minorEastAsia"/>
                <w:bCs/>
                <w:snapToGrid w:val="0"/>
                <w:color w:val="auto"/>
                <w:kern w:val="0"/>
                <w:sz w:val="21"/>
                <w:szCs w:val="21"/>
                <w:highlight w:val="none"/>
                <w:lang w:val="en-US" w:eastAsia="zh-CN"/>
              </w:rPr>
              <w:t>4</w:t>
            </w:r>
          </w:p>
        </w:tc>
        <w:tc>
          <w:tcPr>
            <w:tcW w:w="1948"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eastAsiaTheme="minorEastAsia"/>
                <w:bCs/>
                <w:snapToGrid w:val="0"/>
                <w:color w:val="auto"/>
                <w:kern w:val="0"/>
                <w:sz w:val="21"/>
                <w:szCs w:val="21"/>
                <w:highlight w:val="none"/>
                <w:lang w:val="en-US" w:eastAsia="zh-CN"/>
              </w:rPr>
            </w:pPr>
            <w:r>
              <w:rPr>
                <w:rFonts w:hint="default" w:ascii="Times New Roman" w:hAnsi="Times New Roman" w:cs="Times New Roman" w:eastAsiaTheme="minorEastAsia"/>
                <w:bCs/>
                <w:snapToGrid w:val="0"/>
                <w:color w:val="auto"/>
                <w:kern w:val="0"/>
                <w:sz w:val="21"/>
                <w:szCs w:val="21"/>
                <w:highlight w:val="none"/>
                <w:lang w:val="en-US" w:eastAsia="zh-CN"/>
              </w:rPr>
              <w:t>化学需氧量</w:t>
            </w:r>
          </w:p>
        </w:tc>
        <w:tc>
          <w:tcPr>
            <w:tcW w:w="139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1548"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200111</w:t>
            </w:r>
            <w:r>
              <w:rPr>
                <w:rFonts w:hint="eastAsia" w:ascii="Times New Roman" w:hAnsi="Times New Roman" w:cs="Times New Roman" w:eastAsiaTheme="minorEastAsia"/>
                <w:color w:val="auto"/>
                <w:kern w:val="0"/>
                <w:sz w:val="21"/>
                <w:szCs w:val="21"/>
                <w:highlight w:val="none"/>
                <w:lang w:val="en-US" w:eastAsia="zh-CN"/>
              </w:rPr>
              <w:t>6</w:t>
            </w:r>
          </w:p>
        </w:tc>
        <w:tc>
          <w:tcPr>
            <w:tcW w:w="1608" w:type="dxa"/>
            <w:vAlign w:val="center"/>
          </w:tcPr>
          <w:p>
            <w:pPr>
              <w:jc w:val="cente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pPr>
            <w:r>
              <w:rPr>
                <w:rFonts w:hint="eastAsia" w:ascii="Times New Roman" w:hAnsi="Times New Roman" w:cs="Times New Roman" w:eastAsiaTheme="minorEastAsia"/>
                <w:b w:val="0"/>
                <w:bCs/>
                <w:snapToGrid w:val="0"/>
                <w:color w:val="auto"/>
                <w:kern w:val="0"/>
                <w:sz w:val="21"/>
                <w:szCs w:val="21"/>
                <w:highlight w:val="none"/>
                <w:vertAlign w:val="baseline"/>
                <w:lang w:val="en-US" w:eastAsia="zh-CN"/>
              </w:rPr>
              <w:t>229</w:t>
            </w:r>
          </w:p>
        </w:tc>
        <w:tc>
          <w:tcPr>
            <w:tcW w:w="143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b w:val="0"/>
                <w:bCs/>
                <w:snapToGrid w:val="0"/>
                <w:color w:val="auto"/>
                <w:kern w:val="0"/>
                <w:sz w:val="21"/>
                <w:szCs w:val="21"/>
                <w:highlight w:val="none"/>
                <w:vertAlign w:val="baseline"/>
                <w:lang w:val="en-US" w:eastAsia="zh-CN"/>
              </w:rPr>
              <w:t>224</w:t>
            </w:r>
            <w: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t>±</w:t>
            </w:r>
            <w:r>
              <w:rPr>
                <w:rFonts w:hint="eastAsia" w:ascii="Times New Roman" w:hAnsi="Times New Roman" w:cs="Times New Roman" w:eastAsiaTheme="minorEastAsia"/>
                <w:b w:val="0"/>
                <w:bCs/>
                <w:snapToGrid w:val="0"/>
                <w:color w:val="auto"/>
                <w:kern w:val="0"/>
                <w:sz w:val="21"/>
                <w:szCs w:val="21"/>
                <w:highlight w:val="none"/>
                <w:vertAlign w:val="baseline"/>
                <w:lang w:val="en-US" w:eastAsia="zh-CN"/>
              </w:rPr>
              <w:t>8</w:t>
            </w:r>
          </w:p>
        </w:tc>
        <w:tc>
          <w:tcPr>
            <w:tcW w:w="1104"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12" w:type="dxa"/>
            <w:vAlign w:val="center"/>
          </w:tcPr>
          <w:p>
            <w:pPr>
              <w:numPr>
                <w:ilvl w:val="0"/>
                <w:numId w:val="0"/>
              </w:numPr>
              <w:tabs>
                <w:tab w:val="left" w:pos="0"/>
              </w:tabs>
              <w:adjustRightInd w:val="0"/>
              <w:snapToGrid w:val="0"/>
              <w:spacing w:line="300" w:lineRule="exact"/>
              <w:ind w:left="80" w:leftChars="0"/>
              <w:jc w:val="center"/>
              <w:rPr>
                <w:rFonts w:hint="eastAsia" w:ascii="Times New Roman" w:hAnsi="Times New Roman" w:cs="Times New Roman" w:eastAsiaTheme="minorEastAsia"/>
                <w:bCs/>
                <w:snapToGrid w:val="0"/>
                <w:color w:val="auto"/>
                <w:kern w:val="0"/>
                <w:sz w:val="21"/>
                <w:szCs w:val="21"/>
                <w:highlight w:val="none"/>
                <w:lang w:val="en-US" w:eastAsia="zh-CN"/>
              </w:rPr>
            </w:pPr>
            <w:r>
              <w:rPr>
                <w:rFonts w:hint="eastAsia" w:ascii="Times New Roman" w:hAnsi="Times New Roman" w:cs="Times New Roman" w:eastAsiaTheme="minorEastAsia"/>
                <w:bCs/>
                <w:snapToGrid w:val="0"/>
                <w:color w:val="auto"/>
                <w:kern w:val="0"/>
                <w:sz w:val="21"/>
                <w:szCs w:val="21"/>
                <w:highlight w:val="none"/>
                <w:lang w:val="en-US" w:eastAsia="zh-CN"/>
              </w:rPr>
              <w:t>5</w:t>
            </w:r>
          </w:p>
        </w:tc>
        <w:tc>
          <w:tcPr>
            <w:tcW w:w="1948"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eastAsiaTheme="minorEastAsia"/>
                <w:bCs/>
                <w:snapToGrid w:val="0"/>
                <w:color w:val="auto"/>
                <w:kern w:val="0"/>
                <w:sz w:val="21"/>
                <w:szCs w:val="21"/>
                <w:highlight w:val="none"/>
                <w:lang w:val="en-US" w:eastAsia="zh-CN"/>
              </w:rPr>
            </w:pPr>
            <w:r>
              <w:rPr>
                <w:rFonts w:hint="eastAsia" w:ascii="Times New Roman" w:hAnsi="Times New Roman" w:cs="Times New Roman" w:eastAsiaTheme="minorEastAsia"/>
                <w:bCs/>
                <w:snapToGrid w:val="0"/>
                <w:color w:val="auto"/>
                <w:kern w:val="0"/>
                <w:sz w:val="21"/>
                <w:szCs w:val="21"/>
                <w:highlight w:val="none"/>
                <w:lang w:val="en-US" w:eastAsia="zh-CN"/>
              </w:rPr>
              <w:t>五日生化需氧量</w:t>
            </w:r>
          </w:p>
        </w:tc>
        <w:tc>
          <w:tcPr>
            <w:tcW w:w="139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1548"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rPr>
              <w:t>200251</w:t>
            </w:r>
          </w:p>
        </w:tc>
        <w:tc>
          <w:tcPr>
            <w:tcW w:w="1608" w:type="dxa"/>
            <w:vAlign w:val="center"/>
          </w:tcPr>
          <w:p>
            <w:pPr>
              <w:jc w:val="cente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pPr>
            <w:r>
              <w:rPr>
                <w:rFonts w:hint="eastAsia" w:ascii="Times New Roman" w:hAnsi="Times New Roman" w:cs="Times New Roman" w:eastAsiaTheme="minorEastAsia"/>
                <w:b w:val="0"/>
                <w:bCs/>
                <w:snapToGrid w:val="0"/>
                <w:color w:val="auto"/>
                <w:kern w:val="0"/>
                <w:sz w:val="21"/>
                <w:szCs w:val="21"/>
                <w:highlight w:val="none"/>
                <w:vertAlign w:val="baseline"/>
                <w:lang w:val="en-US" w:eastAsia="zh-CN"/>
              </w:rPr>
              <w:t>61</w:t>
            </w:r>
          </w:p>
        </w:tc>
        <w:tc>
          <w:tcPr>
            <w:tcW w:w="1430" w:type="dxa"/>
            <w:vAlign w:val="center"/>
          </w:tcPr>
          <w:p>
            <w:pPr>
              <w:jc w:val="center"/>
              <w:rPr>
                <w:rFonts w:hint="eastAsia"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rPr>
              <w:t>64.0</w:t>
            </w:r>
            <w: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t>±</w:t>
            </w:r>
            <w:r>
              <w:rPr>
                <w:rFonts w:hint="eastAsia" w:ascii="Times New Roman" w:hAnsi="Times New Roman" w:cs="Times New Roman" w:eastAsiaTheme="minorEastAsia"/>
                <w:color w:val="auto"/>
                <w:kern w:val="0"/>
                <w:sz w:val="21"/>
                <w:szCs w:val="21"/>
                <w:highlight w:val="none"/>
                <w:lang w:val="en-US" w:eastAsia="zh-CN"/>
              </w:rPr>
              <w:t>4.6</w:t>
            </w:r>
          </w:p>
        </w:tc>
        <w:tc>
          <w:tcPr>
            <w:tcW w:w="1104"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12" w:type="dxa"/>
            <w:vAlign w:val="center"/>
          </w:tcPr>
          <w:p>
            <w:pPr>
              <w:numPr>
                <w:ilvl w:val="0"/>
                <w:numId w:val="0"/>
              </w:numPr>
              <w:tabs>
                <w:tab w:val="left" w:pos="0"/>
              </w:tabs>
              <w:adjustRightInd w:val="0"/>
              <w:snapToGrid w:val="0"/>
              <w:spacing w:line="300" w:lineRule="exact"/>
              <w:ind w:left="80" w:leftChars="0"/>
              <w:jc w:val="center"/>
              <w:rPr>
                <w:rFonts w:hint="default" w:ascii="Times New Roman" w:hAnsi="Times New Roman" w:cs="Times New Roman" w:eastAsiaTheme="minorEastAsia"/>
                <w:bCs/>
                <w:snapToGrid w:val="0"/>
                <w:color w:val="auto"/>
                <w:kern w:val="0"/>
                <w:sz w:val="21"/>
                <w:szCs w:val="21"/>
                <w:highlight w:val="none"/>
                <w:lang w:val="en-US" w:eastAsia="zh-CN"/>
              </w:rPr>
            </w:pPr>
            <w:r>
              <w:rPr>
                <w:rFonts w:hint="eastAsia" w:ascii="Times New Roman" w:hAnsi="Times New Roman" w:cs="Times New Roman" w:eastAsiaTheme="minorEastAsia"/>
                <w:bCs/>
                <w:snapToGrid w:val="0"/>
                <w:color w:val="auto"/>
                <w:kern w:val="0"/>
                <w:sz w:val="21"/>
                <w:szCs w:val="21"/>
                <w:highlight w:val="none"/>
                <w:lang w:val="en-US" w:eastAsia="zh-CN"/>
              </w:rPr>
              <w:t>6</w:t>
            </w:r>
          </w:p>
        </w:tc>
        <w:tc>
          <w:tcPr>
            <w:tcW w:w="1948"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eastAsiaTheme="minorEastAsia"/>
                <w:bCs/>
                <w:snapToGrid w:val="0"/>
                <w:color w:val="auto"/>
                <w:kern w:val="0"/>
                <w:sz w:val="21"/>
                <w:szCs w:val="21"/>
                <w:highlight w:val="none"/>
                <w:lang w:val="en-US" w:eastAsia="zh-CN"/>
              </w:rPr>
            </w:pPr>
            <w:r>
              <w:rPr>
                <w:rFonts w:hint="default" w:ascii="Times New Roman" w:hAnsi="Times New Roman" w:cs="Times New Roman" w:eastAsiaTheme="minorEastAsia"/>
                <w:bCs/>
                <w:snapToGrid w:val="0"/>
                <w:color w:val="auto"/>
                <w:kern w:val="0"/>
                <w:sz w:val="21"/>
                <w:szCs w:val="21"/>
                <w:highlight w:val="none"/>
                <w:lang w:val="en-US" w:eastAsia="zh-CN"/>
              </w:rPr>
              <w:t>氨氮</w:t>
            </w:r>
          </w:p>
        </w:tc>
        <w:tc>
          <w:tcPr>
            <w:tcW w:w="139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mg/L</w:t>
            </w:r>
          </w:p>
        </w:tc>
        <w:tc>
          <w:tcPr>
            <w:tcW w:w="1548" w:type="dxa"/>
            <w:vAlign w:val="center"/>
          </w:tcPr>
          <w:p>
            <w:pPr>
              <w:jc w:val="center"/>
              <w:rPr>
                <w:rFonts w:hint="default" w:ascii="Times New Roman" w:hAnsi="Times New Roman" w:cs="Times New Roman" w:eastAsiaTheme="minorEastAsia"/>
                <w:bCs/>
                <w:snapToGrid w:val="0"/>
                <w:color w:val="auto"/>
                <w:kern w:val="0"/>
                <w:sz w:val="21"/>
                <w:szCs w:val="21"/>
                <w:highlight w:val="none"/>
                <w:lang w:val="en-US" w:eastAsia="zh-CN"/>
              </w:rPr>
            </w:pPr>
            <w:r>
              <w:rPr>
                <w:rFonts w:hint="default" w:ascii="Times New Roman" w:hAnsi="Times New Roman" w:cs="Times New Roman" w:eastAsiaTheme="minorEastAsia"/>
                <w:bCs/>
                <w:snapToGrid w:val="0"/>
                <w:color w:val="auto"/>
                <w:kern w:val="0"/>
                <w:sz w:val="21"/>
                <w:szCs w:val="21"/>
                <w:highlight w:val="none"/>
                <w:lang w:val="en-US" w:eastAsia="zh-CN"/>
              </w:rPr>
              <w:t>20059</w:t>
            </w:r>
            <w:r>
              <w:rPr>
                <w:rFonts w:hint="eastAsia" w:ascii="Times New Roman" w:hAnsi="Times New Roman" w:cs="Times New Roman" w:eastAsiaTheme="minorEastAsia"/>
                <w:bCs/>
                <w:snapToGrid w:val="0"/>
                <w:color w:val="auto"/>
                <w:kern w:val="0"/>
                <w:sz w:val="21"/>
                <w:szCs w:val="21"/>
                <w:highlight w:val="none"/>
                <w:lang w:val="en-US" w:eastAsia="zh-CN"/>
              </w:rPr>
              <w:t>8</w:t>
            </w:r>
          </w:p>
        </w:tc>
        <w:tc>
          <w:tcPr>
            <w:tcW w:w="1608" w:type="dxa"/>
            <w:vAlign w:val="center"/>
          </w:tcPr>
          <w:p>
            <w:pPr>
              <w:jc w:val="cente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pPr>
            <w:r>
              <w:rPr>
                <w:rFonts w:hint="eastAsia" w:ascii="Times New Roman" w:hAnsi="Times New Roman" w:cs="Times New Roman" w:eastAsiaTheme="minorEastAsia"/>
                <w:b w:val="0"/>
                <w:bCs/>
                <w:snapToGrid w:val="0"/>
                <w:color w:val="auto"/>
                <w:kern w:val="0"/>
                <w:sz w:val="21"/>
                <w:szCs w:val="21"/>
                <w:highlight w:val="none"/>
                <w:vertAlign w:val="baseline"/>
                <w:lang w:val="en-US" w:eastAsia="zh-CN"/>
              </w:rPr>
              <w:t>2.57</w:t>
            </w:r>
          </w:p>
        </w:tc>
        <w:tc>
          <w:tcPr>
            <w:tcW w:w="1430"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b w:val="0"/>
                <w:bCs/>
                <w:snapToGrid w:val="0"/>
                <w:color w:val="auto"/>
                <w:kern w:val="0"/>
                <w:sz w:val="21"/>
                <w:szCs w:val="21"/>
                <w:highlight w:val="none"/>
                <w:vertAlign w:val="baseline"/>
                <w:lang w:val="en-US" w:eastAsia="zh-CN"/>
              </w:rPr>
              <w:t>2.62</w:t>
            </w:r>
            <w:r>
              <w:rPr>
                <w:rFonts w:hint="default" w:ascii="Times New Roman" w:hAnsi="Times New Roman" w:cs="Times New Roman" w:eastAsiaTheme="minorEastAsia"/>
                <w:b w:val="0"/>
                <w:bCs/>
                <w:snapToGrid w:val="0"/>
                <w:color w:val="auto"/>
                <w:kern w:val="0"/>
                <w:sz w:val="21"/>
                <w:szCs w:val="21"/>
                <w:highlight w:val="none"/>
                <w:vertAlign w:val="baseline"/>
                <w:lang w:val="en-US" w:eastAsia="zh-CN"/>
              </w:rPr>
              <w:t>±</w:t>
            </w:r>
            <w:r>
              <w:rPr>
                <w:rFonts w:hint="eastAsia" w:ascii="Times New Roman" w:hAnsi="Times New Roman" w:cs="Times New Roman" w:eastAsiaTheme="minorEastAsia"/>
                <w:b w:val="0"/>
                <w:bCs/>
                <w:snapToGrid w:val="0"/>
                <w:color w:val="auto"/>
                <w:kern w:val="0"/>
                <w:sz w:val="21"/>
                <w:szCs w:val="21"/>
                <w:highlight w:val="none"/>
                <w:vertAlign w:val="baseline"/>
                <w:lang w:val="en-US" w:eastAsia="zh-CN"/>
              </w:rPr>
              <w:t>0.10</w:t>
            </w:r>
          </w:p>
        </w:tc>
        <w:tc>
          <w:tcPr>
            <w:tcW w:w="1104" w:type="dxa"/>
            <w:vAlign w:val="center"/>
          </w:tcPr>
          <w:p>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合格</w:t>
            </w:r>
          </w:p>
        </w:tc>
      </w:tr>
    </w:tbl>
    <w:p>
      <w:pPr>
        <w:pStyle w:val="4"/>
        <w:rPr>
          <w:rFonts w:hint="default" w:ascii="Times New Roman" w:hAnsi="Times New Roman" w:eastAsia="宋体" w:cs="Times New Roman"/>
          <w:b/>
          <w:bCs/>
          <w:color w:val="auto"/>
          <w:kern w:val="0"/>
          <w:sz w:val="28"/>
          <w:szCs w:val="28"/>
        </w:rPr>
      </w:pPr>
      <w:bookmarkStart w:id="113" w:name="_Toc5837"/>
      <w:r>
        <w:rPr>
          <w:rFonts w:hint="default" w:ascii="Times New Roman" w:hAnsi="Times New Roman" w:eastAsia="宋体" w:cs="Times New Roman"/>
          <w:b/>
          <w:bCs/>
          <w:color w:val="auto"/>
          <w:kern w:val="0"/>
          <w:sz w:val="28"/>
          <w:szCs w:val="28"/>
          <w:lang w:val="en-US" w:eastAsia="zh-CN"/>
        </w:rPr>
        <w:t>（三）</w:t>
      </w:r>
      <w:r>
        <w:rPr>
          <w:rFonts w:hint="default" w:ascii="Times New Roman" w:hAnsi="Times New Roman" w:eastAsia="宋体" w:cs="Times New Roman"/>
          <w:b/>
          <w:bCs/>
          <w:color w:val="auto"/>
          <w:kern w:val="0"/>
          <w:sz w:val="28"/>
          <w:szCs w:val="28"/>
        </w:rPr>
        <w:t>监</w:t>
      </w:r>
      <w:r>
        <w:rPr>
          <w:rStyle w:val="24"/>
          <w:rFonts w:hint="default" w:ascii="Times New Roman" w:hAnsi="Times New Roman" w:cs="Times New Roman"/>
          <w:b/>
          <w:bCs/>
        </w:rPr>
        <w:t>测</w:t>
      </w:r>
      <w:r>
        <w:rPr>
          <w:rFonts w:hint="default" w:ascii="Times New Roman" w:hAnsi="Times New Roman" w:eastAsia="宋体" w:cs="Times New Roman"/>
          <w:b/>
          <w:bCs/>
          <w:color w:val="auto"/>
          <w:kern w:val="0"/>
          <w:sz w:val="28"/>
          <w:szCs w:val="28"/>
        </w:rPr>
        <w:t>结果</w:t>
      </w:r>
      <w:bookmarkEnd w:id="110"/>
      <w:bookmarkEnd w:id="111"/>
      <w:bookmarkEnd w:id="112"/>
      <w:bookmarkEnd w:id="113"/>
    </w:p>
    <w:p>
      <w:pPr>
        <w:keepNext w:val="0"/>
        <w:keepLines w:val="0"/>
        <w:pageBreakBefore w:val="0"/>
        <w:widowControl w:val="0"/>
        <w:kinsoku/>
        <w:wordWrap/>
        <w:overflowPunct/>
        <w:topLinePunct w:val="0"/>
        <w:autoSpaceDE/>
        <w:autoSpaceDN/>
        <w:bidi w:val="0"/>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z w:val="28"/>
          <w:szCs w:val="28"/>
          <w:lang w:val="en-US" w:eastAsia="zh-CN"/>
        </w:rPr>
      </w:pPr>
      <w:bookmarkStart w:id="114" w:name="_Toc19245"/>
      <w:bookmarkStart w:id="115" w:name="_Toc16104"/>
      <w:bookmarkStart w:id="116" w:name="_Toc18824"/>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eastAsia="zh-CN"/>
        </w:rPr>
        <w:t>废水检测结果见表</w:t>
      </w:r>
      <w:r>
        <w:rPr>
          <w:rFonts w:hint="eastAsia" w:ascii="Times New Roman" w:hAnsi="Times New Roman" w:eastAsia="宋体" w:cs="Times New Roman"/>
          <w:color w:val="auto"/>
          <w:sz w:val="28"/>
          <w:szCs w:val="28"/>
          <w:lang w:val="en-US" w:eastAsia="zh-CN"/>
        </w:rPr>
        <w:t>6。</w:t>
      </w:r>
    </w:p>
    <w:p>
      <w:pPr>
        <w:keepNext w:val="0"/>
        <w:keepLines w:val="0"/>
        <w:pageBreakBefore w:val="0"/>
        <w:widowControl w:val="0"/>
        <w:kinsoku/>
        <w:wordWrap/>
        <w:overflowPunct/>
        <w:topLinePunct w:val="0"/>
        <w:autoSpaceDE/>
        <w:autoSpaceDN/>
        <w:bidi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lang w:eastAsia="zh-CN"/>
        </w:rPr>
        <w:t>）无组织排放废气</w:t>
      </w:r>
      <w:r>
        <w:rPr>
          <w:rFonts w:hint="default" w:ascii="Times New Roman" w:hAnsi="Times New Roman" w:eastAsia="宋体" w:cs="Times New Roman"/>
          <w:color w:val="auto"/>
          <w:sz w:val="28"/>
          <w:szCs w:val="28"/>
        </w:rPr>
        <w:t>监测</w:t>
      </w:r>
      <w:r>
        <w:rPr>
          <w:rFonts w:hint="default" w:ascii="Times New Roman" w:hAnsi="Times New Roman" w:eastAsia="宋体" w:cs="Times New Roman"/>
          <w:color w:val="auto"/>
          <w:sz w:val="28"/>
          <w:szCs w:val="28"/>
          <w:lang w:eastAsia="zh-CN"/>
        </w:rPr>
        <w:t>结果见表</w:t>
      </w:r>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lang w:val="en-US" w:eastAsia="zh-CN"/>
        </w:rPr>
        <w:t>。</w:t>
      </w:r>
    </w:p>
    <w:p>
      <w:pPr>
        <w:keepNext w:val="0"/>
        <w:keepLines w:val="0"/>
        <w:pageBreakBefore w:val="0"/>
        <w:widowControl w:val="0"/>
        <w:kinsoku/>
        <w:wordWrap/>
        <w:overflowPunct/>
        <w:topLinePunct w:val="0"/>
        <w:autoSpaceDE/>
        <w:autoSpaceDN/>
        <w:bidi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3</w:t>
      </w:r>
      <w:r>
        <w:rPr>
          <w:rFonts w:hint="eastAsia"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eastAsia="zh-CN"/>
        </w:rPr>
        <w:t>站</w:t>
      </w:r>
      <w:r>
        <w:rPr>
          <w:rFonts w:hint="default" w:ascii="Times New Roman" w:hAnsi="Times New Roman" w:eastAsia="宋体" w:cs="Times New Roman"/>
          <w:color w:val="auto"/>
          <w:sz w:val="28"/>
          <w:szCs w:val="28"/>
        </w:rPr>
        <w:t>界噪声测</w:t>
      </w:r>
      <w:r>
        <w:rPr>
          <w:rFonts w:hint="default" w:ascii="Times New Roman" w:hAnsi="Times New Roman" w:eastAsia="宋体" w:cs="Times New Roman"/>
          <w:color w:val="auto"/>
          <w:sz w:val="28"/>
          <w:szCs w:val="28"/>
          <w:lang w:eastAsia="zh-CN"/>
        </w:rPr>
        <w:t>量</w:t>
      </w:r>
      <w:r>
        <w:rPr>
          <w:rFonts w:hint="default" w:ascii="Times New Roman" w:hAnsi="Times New Roman" w:eastAsia="宋体" w:cs="Times New Roman"/>
          <w:color w:val="auto"/>
          <w:sz w:val="28"/>
          <w:szCs w:val="28"/>
        </w:rPr>
        <w:t>结果见表</w:t>
      </w:r>
      <w:r>
        <w:rPr>
          <w:rFonts w:hint="eastAsia" w:ascii="Times New Roman" w:hAnsi="Times New Roman" w:eastAsia="宋体" w:cs="Times New Roman"/>
          <w:color w:val="auto"/>
          <w:sz w:val="28"/>
          <w:szCs w:val="28"/>
          <w:lang w:val="en-US" w:eastAsia="zh-CN"/>
        </w:rPr>
        <w:t>8</w:t>
      </w:r>
      <w:r>
        <w:rPr>
          <w:rFonts w:hint="default" w:ascii="Times New Roman" w:hAnsi="Times New Roman" w:eastAsia="宋体" w:cs="Times New Roman"/>
          <w:color w:val="auto"/>
          <w:sz w:val="28"/>
          <w:szCs w:val="28"/>
        </w:rPr>
        <w:t>。</w:t>
      </w:r>
      <w:bookmarkEnd w:id="114"/>
      <w:bookmarkEnd w:id="115"/>
      <w:bookmarkEnd w:id="116"/>
      <w:bookmarkStart w:id="117" w:name="_Toc6556"/>
      <w:bookmarkStart w:id="118" w:name="_Toc7909"/>
      <w:bookmarkStart w:id="119" w:name="_Toc7493"/>
      <w:bookmarkStart w:id="120" w:name="_Toc26773"/>
      <w:bookmarkStart w:id="121" w:name="_Toc22627"/>
    </w:p>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rPr>
      </w:pPr>
      <w:r>
        <w:rPr>
          <w:rFonts w:hint="eastAsia" w:ascii="Times New Roman" w:hAnsi="Times New Roman" w:eastAsia="宋体" w:cs="Times New Roman"/>
          <w:b/>
          <w:bCs/>
          <w:color w:val="auto"/>
          <w:sz w:val="28"/>
          <w:szCs w:val="28"/>
          <w:lang w:val="en-US" w:eastAsia="zh-CN"/>
        </w:rPr>
        <w:t xml:space="preserve">            </w:t>
      </w:r>
      <w:r>
        <w:rPr>
          <w:rFonts w:hint="eastAsia" w:ascii="Times New Roman" w:hAnsi="Times New Roman" w:eastAsia="宋体" w:cs="Times New Roman"/>
          <w:b/>
          <w:bCs/>
          <w:color w:val="auto"/>
          <w:sz w:val="28"/>
          <w:szCs w:val="28"/>
          <w:lang w:eastAsia="zh-CN"/>
        </w:rPr>
        <w:t>表</w:t>
      </w:r>
      <w:r>
        <w:rPr>
          <w:rFonts w:hint="eastAsia" w:ascii="Times New Roman" w:hAnsi="Times New Roman" w:eastAsia="宋体" w:cs="Times New Roman"/>
          <w:b/>
          <w:bCs/>
          <w:color w:val="auto"/>
          <w:sz w:val="28"/>
          <w:szCs w:val="28"/>
          <w:lang w:val="en-US" w:eastAsia="zh-CN"/>
        </w:rPr>
        <w:t xml:space="preserve">6  </w:t>
      </w:r>
      <w:r>
        <w:rPr>
          <w:rFonts w:hint="default" w:ascii="Times New Roman" w:hAnsi="Times New Roman" w:eastAsia="宋体" w:cs="Times New Roman"/>
          <w:b/>
          <w:bCs/>
          <w:color w:val="auto"/>
          <w:sz w:val="28"/>
          <w:szCs w:val="28"/>
          <w:lang w:eastAsia="zh-CN"/>
        </w:rPr>
        <w:t>废水检测结果</w:t>
      </w:r>
      <w:r>
        <w:rPr>
          <w:rFonts w:hint="default" w:ascii="Times New Roman" w:hAnsi="Times New Roman" w:eastAsia="宋体" w:cs="Times New Roman"/>
          <w:b/>
          <w:bCs/>
          <w:color w:val="auto"/>
          <w:kern w:val="0"/>
          <w:sz w:val="28"/>
          <w:szCs w:val="28"/>
          <w:lang w:val="en-US" w:eastAsia="zh-CN"/>
        </w:rPr>
        <w:t xml:space="preserve">  </w:t>
      </w:r>
      <w:r>
        <w:rPr>
          <w:rFonts w:hint="default"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val="0"/>
          <w:bCs w:val="0"/>
          <w:color w:val="auto"/>
          <w:kern w:val="0"/>
          <w:sz w:val="21"/>
          <w:szCs w:val="21"/>
          <w:lang w:val="en-US" w:eastAsia="zh-CN"/>
        </w:rPr>
        <w:t>单位：mg/L（</w:t>
      </w:r>
      <w:r>
        <w:rPr>
          <w:rFonts w:hint="default" w:ascii="Times New Roman" w:hAnsi="Times New Roman" w:cs="Times New Roman"/>
          <w:b w:val="0"/>
          <w:bCs w:val="0"/>
          <w:color w:val="auto"/>
          <w:kern w:val="0"/>
          <w:sz w:val="21"/>
          <w:szCs w:val="21"/>
          <w:lang w:val="en-US" w:eastAsia="zh-CN"/>
        </w:rPr>
        <w:t>p</w:t>
      </w:r>
      <w:r>
        <w:rPr>
          <w:rFonts w:hint="default" w:ascii="Times New Roman" w:hAnsi="Times New Roman" w:eastAsia="宋体" w:cs="Times New Roman"/>
          <w:b w:val="0"/>
          <w:bCs w:val="0"/>
          <w:color w:val="auto"/>
          <w:kern w:val="0"/>
          <w:sz w:val="21"/>
          <w:szCs w:val="21"/>
          <w:lang w:val="en-US" w:eastAsia="zh-CN"/>
        </w:rPr>
        <w:t>H除外）</w:t>
      </w:r>
    </w:p>
    <w:tbl>
      <w:tblPr>
        <w:tblStyle w:val="17"/>
        <w:tblW w:w="9160" w:type="dxa"/>
        <w:jc w:val="center"/>
        <w:tblInd w:w="-16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714"/>
        <w:gridCol w:w="713"/>
        <w:gridCol w:w="714"/>
        <w:gridCol w:w="713"/>
        <w:gridCol w:w="714"/>
        <w:gridCol w:w="713"/>
        <w:gridCol w:w="1261"/>
        <w:gridCol w:w="1251"/>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1329" w:type="dxa"/>
            <w:vMerge w:val="restart"/>
            <w:vAlign w:val="top"/>
            <mc:AlternateContent>
              <mc:Choice Requires="wpsCustomData">
                <wpsCustomData:diagonals>
                  <wpsCustomData:diagonal from="10000" to="30000">
                    <wpsCustomData:border w:val="single" w:color="auto" w:sz="4" w:space="0"/>
                  </wpsCustomData:diagonal>
                </wpsCustomData:diagonals>
              </mc:Choice>
            </mc:AlternateContent>
          </w:tcPr>
          <w:p>
            <w:pPr>
              <w:tabs>
                <w:tab w:val="left" w:pos="2520"/>
                <w:tab w:val="left" w:pos="2880"/>
                <w:tab w:val="left" w:pos="3060"/>
              </w:tabs>
              <w:snapToGrid w:val="0"/>
              <w:spacing w:after="156" w:afterLines="50" w:line="240" w:lineRule="auto"/>
              <w:jc w:val="left"/>
              <mc:AlternateContent>
                <mc:Choice Requires="wpsCustomData">
                  <wpsCustomData:diagonalParaType/>
                </mc:Choice>
              </mc:AlternateContent>
              <w:rPr>
                <w:rFonts w:hint="default" w:ascii="Times New Roman" w:hAnsi="Times New Roman" w:eastAsia="宋体" w:cs="Times New Roman"/>
                <w:b/>
                <w:bCs/>
                <w:color w:val="auto"/>
                <w:kern w:val="0"/>
                <w:sz w:val="21"/>
                <w:szCs w:val="21"/>
                <w:vertAlign w:val="baseline"/>
                <w:lang w:eastAsia="zh-CN"/>
              </w:rPr>
            </w:pPr>
            <w:r>
              <w:rPr>
                <w:rFonts w:hint="default" w:ascii="Times New Roman" w:hAnsi="Times New Roman" w:eastAsia="宋体" w:cs="Times New Roman"/>
                <w:b/>
                <w:bCs/>
                <w:color w:val="auto"/>
                <w:kern w:val="0"/>
                <w:sz w:val="21"/>
                <w:szCs w:val="21"/>
                <w:vertAlign w:val="baseline"/>
                <w:lang w:eastAsia="zh-CN"/>
              </w:rPr>
              <w:t>检测指标</w:t>
            </w:r>
          </w:p>
          <w:p>
            <w:pPr>
              <w:tabs>
                <w:tab w:val="left" w:pos="2520"/>
                <w:tab w:val="left" w:pos="2880"/>
                <w:tab w:val="left" w:pos="3060"/>
              </w:tabs>
              <w:spacing w:after="156" w:afterLines="50" w:line="240" w:lineRule="auto"/>
              <w:jc w:val="left"/>
              <w:rPr>
                <w:rFonts w:hint="default" w:ascii="Times New Roman" w:hAnsi="Times New Roman" w:eastAsia="宋体" w:cs="Times New Roman"/>
                <w:b/>
                <w:bCs/>
                <w:color w:val="auto"/>
                <w:kern w:val="0"/>
                <w:sz w:val="21"/>
                <w:szCs w:val="21"/>
                <w:vertAlign w:val="baseline"/>
                <w:lang w:eastAsia="zh-CN"/>
              </w:rPr>
            </w:pPr>
            <w:r>
              <w:rPr>
                <w:rFonts w:hint="default" w:ascii="Times New Roman" w:hAnsi="Times New Roman" w:eastAsia="宋体" w:cs="Times New Roman"/>
                <w:b/>
                <w:bCs/>
                <w:color w:val="auto"/>
                <w:kern w:val="0"/>
                <w:sz w:val="21"/>
                <w:szCs w:val="21"/>
                <w:vertAlign w:val="baseline"/>
                <w:lang w:eastAsia="zh-CN"/>
              </w:rPr>
              <w:t>检测点位及时间</w:t>
            </w:r>
          </w:p>
        </w:tc>
        <w:tc>
          <w:tcPr>
            <w:tcW w:w="5542" w:type="dxa"/>
            <w:gridSpan w:val="7"/>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废水</w:t>
            </w:r>
            <w:r>
              <w:rPr>
                <w:rFonts w:hint="default" w:ascii="Times New Roman" w:hAnsi="Times New Roman" w:cs="Times New Roman" w:eastAsiaTheme="minorEastAsia"/>
                <w:color w:val="auto"/>
                <w:kern w:val="2"/>
                <w:sz w:val="21"/>
                <w:szCs w:val="21"/>
                <w:lang w:val="en-US" w:eastAsia="zh-CN" w:bidi="ar-SA"/>
              </w:rPr>
              <w:t>总排口</w:t>
            </w:r>
            <w:r>
              <w:rPr>
                <w:rFonts w:hint="eastAsia" w:ascii="Times New Roman" w:hAnsi="Times New Roman" w:cs="Times New Roman" w:eastAsiaTheme="minorEastAsia"/>
                <w:color w:val="auto"/>
                <w:kern w:val="2"/>
                <w:sz w:val="21"/>
                <w:szCs w:val="21"/>
                <w:lang w:val="en-US" w:eastAsia="zh-CN" w:bidi="ar-SA"/>
              </w:rPr>
              <w:t>检测结果</w:t>
            </w:r>
          </w:p>
        </w:tc>
        <w:tc>
          <w:tcPr>
            <w:tcW w:w="2289" w:type="dxa"/>
            <w:gridSpan w:val="2"/>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《污水综合排放标准》（GB8978-1996）表4三级标准限值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329" w:type="dxa"/>
            <w:vMerge w:val="continue"/>
            <w:vAlign w:val="top"/>
          </w:tcPr>
          <w:p>
            <w:pPr>
              <w:tabs>
                <w:tab w:val="left" w:pos="2520"/>
                <w:tab w:val="left" w:pos="2880"/>
                <w:tab w:val="left" w:pos="3060"/>
              </w:tabs>
              <w:spacing w:after="156" w:afterLines="50" w:line="240" w:lineRule="auto"/>
              <w:jc w:val="left"/>
              <w:rPr>
                <w:rFonts w:hint="default" w:ascii="Times New Roman" w:hAnsi="Times New Roman" w:eastAsia="宋体" w:cs="Times New Roman"/>
                <w:b/>
                <w:bCs/>
                <w:color w:val="auto"/>
                <w:kern w:val="0"/>
                <w:sz w:val="21"/>
                <w:szCs w:val="21"/>
                <w:vertAlign w:val="baseline"/>
                <w:lang w:eastAsia="zh-CN"/>
              </w:rPr>
            </w:pPr>
          </w:p>
        </w:tc>
        <w:tc>
          <w:tcPr>
            <w:tcW w:w="2141" w:type="dxa"/>
            <w:gridSpan w:val="3"/>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月</w:t>
            </w:r>
            <w:r>
              <w:rPr>
                <w:rFonts w:hint="eastAsia" w:ascii="Times New Roman" w:hAnsi="Times New Roman" w:eastAsia="宋体" w:cs="Times New Roman"/>
                <w:color w:val="auto"/>
                <w:kern w:val="2"/>
                <w:sz w:val="21"/>
                <w:szCs w:val="21"/>
                <w:lang w:val="en-US" w:eastAsia="zh-CN" w:bidi="ar-SA"/>
              </w:rPr>
              <w:t>17</w:t>
            </w:r>
            <w:r>
              <w:rPr>
                <w:rFonts w:hint="default" w:ascii="Times New Roman" w:hAnsi="Times New Roman" w:eastAsia="宋体" w:cs="Times New Roman"/>
                <w:color w:val="auto"/>
                <w:kern w:val="2"/>
                <w:sz w:val="21"/>
                <w:szCs w:val="21"/>
                <w:lang w:val="en-US" w:eastAsia="zh-CN" w:bidi="ar-SA"/>
              </w:rPr>
              <w:t>日</w:t>
            </w:r>
          </w:p>
        </w:tc>
        <w:tc>
          <w:tcPr>
            <w:tcW w:w="2140" w:type="dxa"/>
            <w:gridSpan w:val="3"/>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月</w:t>
            </w:r>
            <w:r>
              <w:rPr>
                <w:rFonts w:hint="eastAsia" w:ascii="Times New Roman" w:hAnsi="Times New Roman" w:eastAsia="宋体" w:cs="Times New Roman"/>
                <w:color w:val="auto"/>
                <w:kern w:val="2"/>
                <w:sz w:val="21"/>
                <w:szCs w:val="21"/>
                <w:lang w:val="en-US" w:eastAsia="zh-CN" w:bidi="ar-SA"/>
              </w:rPr>
              <w:t>18</w:t>
            </w:r>
            <w:r>
              <w:rPr>
                <w:rFonts w:hint="default" w:ascii="Times New Roman" w:hAnsi="Times New Roman" w:eastAsia="宋体" w:cs="Times New Roman"/>
                <w:color w:val="auto"/>
                <w:kern w:val="2"/>
                <w:sz w:val="21"/>
                <w:szCs w:val="21"/>
                <w:lang w:val="en-US" w:eastAsia="zh-CN" w:bidi="ar-SA"/>
              </w:rPr>
              <w:t>日</w:t>
            </w:r>
          </w:p>
        </w:tc>
        <w:tc>
          <w:tcPr>
            <w:tcW w:w="1261" w:type="dxa"/>
            <w:vMerge w:val="restart"/>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二日均值或范围</w:t>
            </w:r>
          </w:p>
        </w:tc>
        <w:tc>
          <w:tcPr>
            <w:tcW w:w="1251" w:type="dxa"/>
            <w:vMerge w:val="restart"/>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标准</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限值</w:t>
            </w:r>
          </w:p>
        </w:tc>
        <w:tc>
          <w:tcPr>
            <w:tcW w:w="1038" w:type="dxa"/>
            <w:vMerge w:val="restart"/>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1329" w:type="dxa"/>
            <w:vMerge w:val="continue"/>
          </w:tcPr>
          <w:p>
            <w:pPr>
              <w:tabs>
                <w:tab w:val="left" w:pos="2520"/>
                <w:tab w:val="left" w:pos="2880"/>
                <w:tab w:val="left" w:pos="3060"/>
              </w:tabs>
              <w:spacing w:after="156" w:afterLines="50" w:line="240" w:lineRule="auto"/>
              <w:jc w:val="center"/>
              <w:rPr>
                <w:rFonts w:hint="default" w:ascii="Times New Roman" w:hAnsi="Times New Roman" w:eastAsia="宋体" w:cs="Times New Roman"/>
                <w:b/>
                <w:bCs/>
                <w:color w:val="auto"/>
                <w:kern w:val="0"/>
                <w:sz w:val="21"/>
                <w:szCs w:val="21"/>
                <w:vertAlign w:val="baseline"/>
                <w:lang w:eastAsia="zh-CN"/>
              </w:rPr>
            </w:pPr>
          </w:p>
        </w:tc>
        <w:tc>
          <w:tcPr>
            <w:tcW w:w="714"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13"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714"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713"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14"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713"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261" w:type="dxa"/>
            <w:vMerge w:val="continue"/>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p>
        </w:tc>
        <w:tc>
          <w:tcPr>
            <w:tcW w:w="1251" w:type="dxa"/>
            <w:vMerge w:val="continue"/>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p>
        </w:tc>
        <w:tc>
          <w:tcPr>
            <w:tcW w:w="1038" w:type="dxa"/>
            <w:vMerge w:val="continue"/>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29" w:type="dxa"/>
            <w:vAlign w:val="center"/>
          </w:tcPr>
          <w:p>
            <w:pPr>
              <w:numPr>
                <w:ilvl w:val="0"/>
                <w:numId w:val="0"/>
              </w:numPr>
              <w:ind w:left="0" w:leftChars="0" w:firstLine="0" w:firstLineChars="0"/>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pH</w:t>
            </w:r>
          </w:p>
        </w:tc>
        <w:tc>
          <w:tcPr>
            <w:tcW w:w="71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7.11</w:t>
            </w:r>
          </w:p>
        </w:tc>
        <w:tc>
          <w:tcPr>
            <w:tcW w:w="713"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7.12</w:t>
            </w:r>
          </w:p>
        </w:tc>
        <w:tc>
          <w:tcPr>
            <w:tcW w:w="71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7.13</w:t>
            </w:r>
          </w:p>
        </w:tc>
        <w:tc>
          <w:tcPr>
            <w:tcW w:w="713"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7.18</w:t>
            </w:r>
          </w:p>
        </w:tc>
        <w:tc>
          <w:tcPr>
            <w:tcW w:w="71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7.20</w:t>
            </w:r>
          </w:p>
        </w:tc>
        <w:tc>
          <w:tcPr>
            <w:tcW w:w="713"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7.21</w:t>
            </w:r>
          </w:p>
        </w:tc>
        <w:tc>
          <w:tcPr>
            <w:tcW w:w="126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7.11~7.21</w:t>
            </w:r>
          </w:p>
        </w:tc>
        <w:tc>
          <w:tcPr>
            <w:tcW w:w="125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6~9</w:t>
            </w:r>
          </w:p>
        </w:tc>
        <w:tc>
          <w:tcPr>
            <w:tcW w:w="1038"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29" w:type="dxa"/>
            <w:vAlign w:val="center"/>
          </w:tcPr>
          <w:p>
            <w:pPr>
              <w:numPr>
                <w:ilvl w:val="0"/>
                <w:numId w:val="0"/>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vertAlign w:val="baseline"/>
                <w:lang w:val="en-US" w:eastAsia="zh-CN"/>
              </w:rPr>
              <w:t>SS</w:t>
            </w:r>
          </w:p>
        </w:tc>
        <w:tc>
          <w:tcPr>
            <w:tcW w:w="71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c>
          <w:tcPr>
            <w:tcW w:w="713"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71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713"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w:t>
            </w:r>
          </w:p>
        </w:tc>
        <w:tc>
          <w:tcPr>
            <w:tcW w:w="71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w:t>
            </w:r>
          </w:p>
        </w:tc>
        <w:tc>
          <w:tcPr>
            <w:tcW w:w="713"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261"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16</w:t>
            </w:r>
          </w:p>
        </w:tc>
        <w:tc>
          <w:tcPr>
            <w:tcW w:w="125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400</w:t>
            </w:r>
          </w:p>
        </w:tc>
        <w:tc>
          <w:tcPr>
            <w:tcW w:w="1038"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29" w:type="dxa"/>
            <w:vAlign w:val="center"/>
          </w:tcPr>
          <w:p>
            <w:pPr>
              <w:numPr>
                <w:ilvl w:val="0"/>
                <w:numId w:val="0"/>
              </w:numPr>
              <w:ind w:left="0" w:leftChars="0" w:firstLine="0" w:firstLineChars="0"/>
              <w:jc w:val="center"/>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BOD</w:t>
            </w:r>
            <w:r>
              <w:rPr>
                <w:rFonts w:hint="eastAsia" w:ascii="Times New Roman" w:hAnsi="Times New Roman" w:cs="Times New Roman"/>
                <w:color w:val="auto"/>
                <w:kern w:val="0"/>
                <w:sz w:val="21"/>
                <w:szCs w:val="21"/>
                <w:vertAlign w:val="subscript"/>
                <w:lang w:val="en-US" w:eastAsia="zh-CN"/>
              </w:rPr>
              <w:t>5</w:t>
            </w:r>
          </w:p>
        </w:tc>
        <w:tc>
          <w:tcPr>
            <w:tcW w:w="71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132</w:t>
            </w:r>
          </w:p>
        </w:tc>
        <w:tc>
          <w:tcPr>
            <w:tcW w:w="713"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130</w:t>
            </w:r>
          </w:p>
        </w:tc>
        <w:tc>
          <w:tcPr>
            <w:tcW w:w="71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125</w:t>
            </w:r>
          </w:p>
        </w:tc>
        <w:tc>
          <w:tcPr>
            <w:tcW w:w="713"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130</w:t>
            </w:r>
          </w:p>
        </w:tc>
        <w:tc>
          <w:tcPr>
            <w:tcW w:w="714"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133</w:t>
            </w:r>
          </w:p>
        </w:tc>
        <w:tc>
          <w:tcPr>
            <w:tcW w:w="713"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121</w:t>
            </w:r>
          </w:p>
        </w:tc>
        <w:tc>
          <w:tcPr>
            <w:tcW w:w="1261"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128</w:t>
            </w:r>
          </w:p>
        </w:tc>
        <w:tc>
          <w:tcPr>
            <w:tcW w:w="1251"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300</w:t>
            </w:r>
          </w:p>
        </w:tc>
        <w:tc>
          <w:tcPr>
            <w:tcW w:w="1038" w:type="dxa"/>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29" w:type="dxa"/>
            <w:tcBorders>
              <w:right w:val="single" w:color="auto" w:sz="4" w:space="0"/>
            </w:tcBorders>
            <w:vAlign w:val="center"/>
          </w:tcPr>
          <w:p>
            <w:pPr>
              <w:numPr>
                <w:ilvl w:val="0"/>
                <w:numId w:val="0"/>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vertAlign w:val="baseline"/>
                <w:lang w:val="en-US" w:eastAsia="zh-CN"/>
              </w:rPr>
              <w:t>CODcr</w:t>
            </w:r>
          </w:p>
        </w:tc>
        <w:tc>
          <w:tcPr>
            <w:tcW w:w="714"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392</w:t>
            </w:r>
          </w:p>
        </w:tc>
        <w:tc>
          <w:tcPr>
            <w:tcW w:w="713"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395</w:t>
            </w:r>
          </w:p>
        </w:tc>
        <w:tc>
          <w:tcPr>
            <w:tcW w:w="714"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385</w:t>
            </w:r>
          </w:p>
        </w:tc>
        <w:tc>
          <w:tcPr>
            <w:tcW w:w="713"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380</w:t>
            </w:r>
          </w:p>
        </w:tc>
        <w:tc>
          <w:tcPr>
            <w:tcW w:w="714"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383</w:t>
            </w:r>
          </w:p>
        </w:tc>
        <w:tc>
          <w:tcPr>
            <w:tcW w:w="713"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375</w:t>
            </w:r>
          </w:p>
        </w:tc>
        <w:tc>
          <w:tcPr>
            <w:tcW w:w="1261" w:type="dxa"/>
            <w:tcBorders>
              <w:top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385</w:t>
            </w:r>
          </w:p>
        </w:tc>
        <w:tc>
          <w:tcPr>
            <w:tcW w:w="1251"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500</w:t>
            </w:r>
          </w:p>
        </w:tc>
        <w:tc>
          <w:tcPr>
            <w:tcW w:w="1038" w:type="dxa"/>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29" w:type="dxa"/>
            <w:vAlign w:val="center"/>
          </w:tcPr>
          <w:p>
            <w:pPr>
              <w:numPr>
                <w:ilvl w:val="0"/>
                <w:numId w:val="0"/>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石油类</w:t>
            </w:r>
          </w:p>
        </w:tc>
        <w:tc>
          <w:tcPr>
            <w:tcW w:w="714"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14.25</w:t>
            </w:r>
          </w:p>
        </w:tc>
        <w:tc>
          <w:tcPr>
            <w:tcW w:w="713"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14.88</w:t>
            </w:r>
          </w:p>
        </w:tc>
        <w:tc>
          <w:tcPr>
            <w:tcW w:w="714"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18.67</w:t>
            </w:r>
          </w:p>
        </w:tc>
        <w:tc>
          <w:tcPr>
            <w:tcW w:w="713"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12.77</w:t>
            </w:r>
          </w:p>
        </w:tc>
        <w:tc>
          <w:tcPr>
            <w:tcW w:w="714"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15.13</w:t>
            </w:r>
          </w:p>
        </w:tc>
        <w:tc>
          <w:tcPr>
            <w:tcW w:w="713"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17.90</w:t>
            </w:r>
          </w:p>
        </w:tc>
        <w:tc>
          <w:tcPr>
            <w:tcW w:w="1261" w:type="dxa"/>
            <w:tcBorders>
              <w:top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15.6</w:t>
            </w:r>
            <w:r>
              <w:rPr>
                <w:rFonts w:hint="eastAsia" w:ascii="Times New Roman" w:hAnsi="Times New Roman" w:eastAsia="宋体" w:cs="Times New Roman"/>
                <w:i w:val="0"/>
                <w:color w:val="000000"/>
                <w:kern w:val="0"/>
                <w:sz w:val="21"/>
                <w:szCs w:val="21"/>
                <w:u w:val="none"/>
                <w:lang w:val="en-US" w:eastAsia="zh-CN" w:bidi="ar"/>
              </w:rPr>
              <w:t>0</w:t>
            </w:r>
          </w:p>
        </w:tc>
        <w:tc>
          <w:tcPr>
            <w:tcW w:w="1251"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1038"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29" w:type="dxa"/>
            <w:vAlign w:val="center"/>
          </w:tcPr>
          <w:p>
            <w:pPr>
              <w:numPr>
                <w:ilvl w:val="0"/>
                <w:numId w:val="0"/>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动植物油</w:t>
            </w:r>
          </w:p>
        </w:tc>
        <w:tc>
          <w:tcPr>
            <w:tcW w:w="714"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9.38</w:t>
            </w:r>
          </w:p>
        </w:tc>
        <w:tc>
          <w:tcPr>
            <w:tcW w:w="713"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10.74</w:t>
            </w:r>
          </w:p>
        </w:tc>
        <w:tc>
          <w:tcPr>
            <w:tcW w:w="714"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6.02</w:t>
            </w:r>
          </w:p>
        </w:tc>
        <w:tc>
          <w:tcPr>
            <w:tcW w:w="713"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12.07</w:t>
            </w:r>
          </w:p>
        </w:tc>
        <w:tc>
          <w:tcPr>
            <w:tcW w:w="714"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11.77</w:t>
            </w:r>
          </w:p>
        </w:tc>
        <w:tc>
          <w:tcPr>
            <w:tcW w:w="713"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7.56</w:t>
            </w:r>
          </w:p>
        </w:tc>
        <w:tc>
          <w:tcPr>
            <w:tcW w:w="1261" w:type="dxa"/>
            <w:tcBorders>
              <w:top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9.59</w:t>
            </w:r>
          </w:p>
        </w:tc>
        <w:tc>
          <w:tcPr>
            <w:tcW w:w="1251"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100</w:t>
            </w:r>
          </w:p>
        </w:tc>
        <w:tc>
          <w:tcPr>
            <w:tcW w:w="1038"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29" w:type="dxa"/>
            <w:vAlign w:val="center"/>
          </w:tcPr>
          <w:p>
            <w:pPr>
              <w:numPr>
                <w:ilvl w:val="0"/>
                <w:numId w:val="0"/>
              </w:num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氨氮</w:t>
            </w:r>
          </w:p>
        </w:tc>
        <w:tc>
          <w:tcPr>
            <w:tcW w:w="714" w:type="dxa"/>
            <w:vAlign w:val="center"/>
          </w:tcPr>
          <w:p>
            <w:pPr>
              <w:numPr>
                <w:ilvl w:val="0"/>
                <w:numId w:val="0"/>
              </w:numPr>
              <w:ind w:left="0" w:leftChars="0" w:firstLine="0" w:firstLineChars="0"/>
              <w:jc w:val="center"/>
              <w:rPr>
                <w:rFonts w:hint="default"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kern w:val="2"/>
                <w:sz w:val="21"/>
                <w:szCs w:val="21"/>
                <w:lang w:val="en-US" w:eastAsia="zh-CN" w:bidi="ar-SA"/>
              </w:rPr>
              <w:t>1.85</w:t>
            </w:r>
          </w:p>
        </w:tc>
        <w:tc>
          <w:tcPr>
            <w:tcW w:w="713"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kern w:val="2"/>
                <w:sz w:val="21"/>
                <w:szCs w:val="21"/>
                <w:lang w:val="en-US" w:eastAsia="zh-CN" w:bidi="ar-SA"/>
              </w:rPr>
              <w:t>1.94</w:t>
            </w:r>
          </w:p>
        </w:tc>
        <w:tc>
          <w:tcPr>
            <w:tcW w:w="714"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kern w:val="2"/>
                <w:sz w:val="21"/>
                <w:szCs w:val="21"/>
                <w:lang w:val="en-US" w:eastAsia="zh-CN" w:bidi="ar-SA"/>
              </w:rPr>
              <w:t>1.74</w:t>
            </w:r>
          </w:p>
        </w:tc>
        <w:tc>
          <w:tcPr>
            <w:tcW w:w="713"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kern w:val="2"/>
                <w:sz w:val="21"/>
                <w:szCs w:val="21"/>
                <w:lang w:val="en-US" w:eastAsia="zh-CN" w:bidi="ar-SA"/>
              </w:rPr>
              <w:t>1.86</w:t>
            </w:r>
          </w:p>
        </w:tc>
        <w:tc>
          <w:tcPr>
            <w:tcW w:w="714"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kern w:val="2"/>
                <w:sz w:val="21"/>
                <w:szCs w:val="21"/>
                <w:lang w:val="en-US" w:eastAsia="zh-CN" w:bidi="ar-SA"/>
              </w:rPr>
              <w:t>2.00</w:t>
            </w:r>
          </w:p>
        </w:tc>
        <w:tc>
          <w:tcPr>
            <w:tcW w:w="713"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spacing w:val="-11"/>
                <w:kern w:val="2"/>
                <w:sz w:val="21"/>
                <w:szCs w:val="21"/>
                <w:lang w:val="en-US" w:eastAsia="zh-CN" w:bidi="ar-SA"/>
              </w:rPr>
            </w:pPr>
            <w:r>
              <w:rPr>
                <w:rFonts w:hint="eastAsia" w:ascii="Times New Roman" w:hAnsi="Times New Roman" w:eastAsia="宋体" w:cs="Times New Roman"/>
                <w:color w:val="auto"/>
                <w:spacing w:val="-11"/>
                <w:kern w:val="2"/>
                <w:sz w:val="21"/>
                <w:szCs w:val="21"/>
                <w:lang w:val="en-US" w:eastAsia="zh-CN" w:bidi="ar-SA"/>
              </w:rPr>
              <w:t>2.02</w:t>
            </w:r>
          </w:p>
        </w:tc>
        <w:tc>
          <w:tcPr>
            <w:tcW w:w="126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1.90</w:t>
            </w:r>
          </w:p>
        </w:tc>
        <w:tc>
          <w:tcPr>
            <w:tcW w:w="1251"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038"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bl>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spacing w:after="157" w:afterLines="50" w:line="560" w:lineRule="exact"/>
        <w:ind w:left="0" w:leftChars="0" w:right="0" w:rightChars="0" w:firstLine="0" w:firstLineChars="0"/>
        <w:jc w:val="center"/>
        <w:textAlignment w:val="auto"/>
        <w:outlineLvl w:val="2"/>
        <w:rPr>
          <w:rFonts w:hint="default" w:ascii="Times New Roman" w:hAnsi="Times New Roman" w:eastAsia="宋体" w:cs="Times New Roman"/>
          <w:bCs/>
          <w:kern w:val="0"/>
          <w:sz w:val="22"/>
          <w:szCs w:val="22"/>
          <w:vertAlign w:val="superscript"/>
        </w:rPr>
      </w:pPr>
      <w:bookmarkStart w:id="122" w:name="_Toc29916"/>
      <w:bookmarkStart w:id="123" w:name="_Toc14965"/>
      <w:bookmarkStart w:id="124" w:name="_Toc23020"/>
      <w:bookmarkStart w:id="125" w:name="_Toc8169"/>
      <w:r>
        <w:rPr>
          <w:rFonts w:hint="default" w:ascii="Times New Roman" w:hAnsi="Times New Roman" w:eastAsia="宋体" w:cs="Times New Roman"/>
          <w:b/>
          <w:bCs/>
          <w:kern w:val="0"/>
          <w:sz w:val="28"/>
          <w:szCs w:val="28"/>
          <w:lang w:eastAsia="zh-CN"/>
        </w:rPr>
        <w:t>表</w:t>
      </w:r>
      <w:r>
        <w:rPr>
          <w:rFonts w:hint="eastAsia" w:ascii="Times New Roman" w:hAnsi="Times New Roman" w:eastAsia="宋体" w:cs="Times New Roman"/>
          <w:b/>
          <w:bCs/>
          <w:kern w:val="0"/>
          <w:sz w:val="28"/>
          <w:szCs w:val="28"/>
          <w:lang w:val="en-US" w:eastAsia="zh-CN"/>
        </w:rPr>
        <w:t>7</w:t>
      </w:r>
      <w:r>
        <w:rPr>
          <w:rFonts w:hint="default" w:ascii="Times New Roman" w:hAnsi="Times New Roman" w:eastAsia="宋体" w:cs="Times New Roman"/>
          <w:b/>
          <w:bCs/>
          <w:kern w:val="0"/>
          <w:sz w:val="28"/>
          <w:szCs w:val="28"/>
          <w:lang w:val="en-US" w:eastAsia="zh-CN"/>
        </w:rPr>
        <w:t xml:space="preserve"> </w:t>
      </w:r>
      <w:r>
        <w:rPr>
          <w:rFonts w:hint="default" w:ascii="Times New Roman" w:hAnsi="Times New Roman" w:eastAsia="宋体" w:cs="Times New Roman"/>
          <w:b/>
          <w:bCs/>
          <w:kern w:val="0"/>
          <w:sz w:val="28"/>
          <w:szCs w:val="28"/>
          <w:lang w:eastAsia="zh-CN"/>
        </w:rPr>
        <w:t>无组织排放废气</w:t>
      </w:r>
      <w:r>
        <w:rPr>
          <w:rFonts w:hint="default" w:ascii="Times New Roman" w:hAnsi="Times New Roman" w:eastAsia="宋体" w:cs="Times New Roman"/>
          <w:b/>
          <w:bCs/>
          <w:kern w:val="0"/>
          <w:sz w:val="28"/>
          <w:szCs w:val="28"/>
        </w:rPr>
        <w:t>监测结果</w:t>
      </w:r>
      <w:bookmarkEnd w:id="117"/>
      <w:r>
        <w:rPr>
          <w:rFonts w:hint="default" w:ascii="Times New Roman" w:hAnsi="Times New Roman" w:eastAsia="宋体" w:cs="Times New Roman"/>
          <w:b/>
          <w:bCs/>
          <w:kern w:val="0"/>
          <w:sz w:val="32"/>
          <w:szCs w:val="32"/>
        </w:rPr>
        <w:t xml:space="preserve">   </w:t>
      </w:r>
      <w:r>
        <w:rPr>
          <w:rFonts w:hint="default" w:ascii="Times New Roman" w:hAnsi="Times New Roman" w:eastAsia="宋体" w:cs="Times New Roman"/>
          <w:b/>
          <w:bCs/>
          <w:kern w:val="0"/>
          <w:sz w:val="32"/>
          <w:szCs w:val="32"/>
          <w:lang w:val="en-US" w:eastAsia="zh-CN"/>
        </w:rPr>
        <w:t xml:space="preserve">   </w:t>
      </w:r>
      <w:r>
        <w:rPr>
          <w:rFonts w:hint="default" w:ascii="Times New Roman" w:hAnsi="Times New Roman" w:eastAsia="宋体" w:cs="Times New Roman"/>
          <w:bCs/>
          <w:kern w:val="0"/>
          <w:sz w:val="22"/>
          <w:szCs w:val="22"/>
        </w:rPr>
        <w:t>单位mg/m</w:t>
      </w:r>
      <w:r>
        <w:rPr>
          <w:rFonts w:hint="default" w:ascii="Times New Roman" w:hAnsi="Times New Roman" w:eastAsia="宋体" w:cs="Times New Roman"/>
          <w:bCs/>
          <w:kern w:val="0"/>
          <w:sz w:val="22"/>
          <w:szCs w:val="22"/>
          <w:vertAlign w:val="superscript"/>
        </w:rPr>
        <w:t>3</w:t>
      </w:r>
      <w:bookmarkEnd w:id="118"/>
      <w:bookmarkEnd w:id="119"/>
      <w:bookmarkEnd w:id="120"/>
      <w:bookmarkEnd w:id="121"/>
      <w:bookmarkEnd w:id="122"/>
      <w:bookmarkEnd w:id="123"/>
      <w:bookmarkEnd w:id="124"/>
      <w:bookmarkEnd w:id="125"/>
    </w:p>
    <w:tbl>
      <w:tblPr>
        <w:tblStyle w:val="17"/>
        <w:tblW w:w="8940" w:type="dxa"/>
        <w:jc w:val="center"/>
        <w:tblInd w:w="-5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1415"/>
        <w:gridCol w:w="1222"/>
        <w:gridCol w:w="2075"/>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exact"/>
          <w:jc w:val="center"/>
        </w:trPr>
        <w:tc>
          <w:tcPr>
            <w:tcW w:w="1999"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采样点位</w:t>
            </w:r>
          </w:p>
        </w:tc>
        <w:tc>
          <w:tcPr>
            <w:tcW w:w="4712" w:type="dxa"/>
            <w:gridSpan w:val="3"/>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spacing w:val="-11"/>
                <w:kern w:val="0"/>
                <w:sz w:val="21"/>
                <w:szCs w:val="21"/>
                <w:lang w:val="en-US" w:eastAsia="zh-CN"/>
              </w:rPr>
            </w:pPr>
            <w:r>
              <w:rPr>
                <w:rFonts w:hint="default" w:ascii="Times New Roman" w:hAnsi="Times New Roman" w:eastAsia="宋体" w:cs="Times New Roman"/>
                <w:spacing w:val="0"/>
                <w:kern w:val="0"/>
                <w:sz w:val="21"/>
                <w:szCs w:val="21"/>
                <w:lang w:eastAsia="zh-CN"/>
              </w:rPr>
              <w:t>非甲烷总烃</w:t>
            </w:r>
          </w:p>
        </w:tc>
        <w:tc>
          <w:tcPr>
            <w:tcW w:w="2229"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spacing w:val="-11"/>
                <w:kern w:val="0"/>
                <w:sz w:val="21"/>
                <w:szCs w:val="21"/>
                <w:lang w:val="en-US" w:eastAsia="zh-CN"/>
              </w:rPr>
            </w:pPr>
            <w:r>
              <w:rPr>
                <w:rFonts w:hint="default" w:ascii="Times New Roman" w:hAnsi="Times New Roman" w:eastAsia="宋体" w:cs="Times New Roman"/>
                <w:bCs/>
                <w:spacing w:val="-23"/>
                <w:kern w:val="0"/>
                <w:sz w:val="21"/>
                <w:szCs w:val="21"/>
                <w:lang w:eastAsia="zh-CN"/>
              </w:rPr>
              <w:t>《大气污染物综合排放标准》</w:t>
            </w:r>
            <w:r>
              <w:rPr>
                <w:rFonts w:hint="default" w:ascii="Times New Roman" w:hAnsi="Times New Roman" w:eastAsia="宋体" w:cs="Times New Roman"/>
                <w:bCs/>
                <w:spacing w:val="-11"/>
                <w:kern w:val="0"/>
                <w:sz w:val="21"/>
                <w:szCs w:val="21"/>
                <w:lang w:eastAsia="zh-CN"/>
              </w:rPr>
              <w:t>（GB16297-1996）表</w:t>
            </w:r>
            <w:r>
              <w:rPr>
                <w:rFonts w:hint="default" w:ascii="Times New Roman" w:hAnsi="Times New Roman" w:eastAsia="宋体" w:cs="Times New Roman"/>
                <w:bCs/>
                <w:spacing w:val="-11"/>
                <w:kern w:val="0"/>
                <w:sz w:val="21"/>
                <w:szCs w:val="21"/>
                <w:lang w:val="en-US" w:eastAsia="zh-CN"/>
              </w:rPr>
              <w:t>2</w:t>
            </w:r>
            <w:r>
              <w:rPr>
                <w:rFonts w:hint="default" w:ascii="Times New Roman" w:hAnsi="Times New Roman" w:eastAsia="宋体" w:cs="Times New Roman"/>
                <w:bCs/>
                <w:spacing w:val="-11"/>
                <w:kern w:val="0"/>
                <w:sz w:val="21"/>
                <w:szCs w:val="21"/>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exact"/>
          <w:jc w:val="center"/>
        </w:trPr>
        <w:tc>
          <w:tcPr>
            <w:tcW w:w="199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2637" w:type="dxa"/>
            <w:gridSpan w:val="2"/>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监测</w:t>
            </w:r>
            <w:r>
              <w:rPr>
                <w:rFonts w:hint="default" w:ascii="Times New Roman" w:hAnsi="Times New Roman" w:eastAsia="宋体" w:cs="Times New Roman"/>
                <w:kern w:val="0"/>
                <w:sz w:val="21"/>
                <w:szCs w:val="21"/>
                <w:lang w:eastAsia="zh-CN"/>
              </w:rPr>
              <w:t>日期</w:t>
            </w:r>
          </w:p>
        </w:tc>
        <w:tc>
          <w:tcPr>
            <w:tcW w:w="2075"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spacing w:val="-11"/>
                <w:kern w:val="0"/>
                <w:sz w:val="21"/>
                <w:szCs w:val="21"/>
                <w:lang w:val="en-US" w:eastAsia="zh-CN"/>
              </w:rPr>
            </w:pPr>
            <w:r>
              <w:rPr>
                <w:rFonts w:hint="default" w:ascii="Times New Roman" w:hAnsi="Times New Roman" w:eastAsia="宋体" w:cs="Times New Roman"/>
                <w:spacing w:val="-11"/>
                <w:kern w:val="0"/>
                <w:sz w:val="21"/>
                <w:szCs w:val="21"/>
                <w:lang w:eastAsia="zh-CN"/>
              </w:rPr>
              <w:t>最高浓度</w:t>
            </w: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spacing w:val="-11"/>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17</w:t>
            </w:r>
            <w:r>
              <w:rPr>
                <w:rFonts w:hint="default" w:ascii="Times New Roman" w:hAnsi="Times New Roman" w:eastAsia="宋体" w:cs="Times New Roman"/>
                <w:kern w:val="0"/>
                <w:sz w:val="21"/>
                <w:szCs w:val="21"/>
              </w:rPr>
              <w:t>日</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18</w:t>
            </w:r>
            <w:r>
              <w:rPr>
                <w:rFonts w:hint="default" w:ascii="Times New Roman" w:hAnsi="Times New Roman" w:eastAsia="宋体" w:cs="Times New Roman"/>
                <w:kern w:val="0"/>
                <w:sz w:val="21"/>
                <w:szCs w:val="21"/>
              </w:rPr>
              <w:t>日</w:t>
            </w:r>
          </w:p>
        </w:tc>
        <w:tc>
          <w:tcPr>
            <w:tcW w:w="20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bCs/>
                <w:kern w:val="0"/>
                <w:sz w:val="21"/>
                <w:szCs w:val="21"/>
                <w:lang w:val="en-US" w:eastAsia="zh-CN"/>
              </w:rPr>
              <w:t>G</w:t>
            </w:r>
            <w:r>
              <w:rPr>
                <w:rFonts w:hint="default" w:ascii="Times New Roman" w:hAnsi="Times New Roman" w:eastAsia="宋体" w:cs="Times New Roman"/>
                <w:bCs/>
                <w:kern w:val="0"/>
                <w:sz w:val="21"/>
                <w:szCs w:val="21"/>
                <w:vertAlign w:val="subscript"/>
                <w:lang w:val="en-US" w:eastAsia="zh-CN"/>
              </w:rPr>
              <w:t xml:space="preserve">1 </w:t>
            </w:r>
            <w:r>
              <w:rPr>
                <w:rFonts w:hint="eastAsia" w:ascii="Times New Roman" w:hAnsi="Times New Roman" w:eastAsia="宋体" w:cs="Times New Roman"/>
                <w:bCs/>
                <w:kern w:val="0"/>
                <w:sz w:val="21"/>
                <w:szCs w:val="21"/>
                <w:lang w:val="en-US" w:eastAsia="zh-CN"/>
              </w:rPr>
              <w:t>站界东北侧</w:t>
            </w: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1.08</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0.82</w:t>
            </w:r>
          </w:p>
        </w:tc>
        <w:tc>
          <w:tcPr>
            <w:tcW w:w="2075"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1.08</w:t>
            </w:r>
          </w:p>
        </w:tc>
        <w:tc>
          <w:tcPr>
            <w:tcW w:w="2229"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bCs/>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1.00</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0.85</w:t>
            </w:r>
          </w:p>
        </w:tc>
        <w:tc>
          <w:tcPr>
            <w:tcW w:w="20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0.92</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0.89</w:t>
            </w:r>
          </w:p>
        </w:tc>
        <w:tc>
          <w:tcPr>
            <w:tcW w:w="20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bCs/>
                <w:kern w:val="0"/>
                <w:sz w:val="21"/>
                <w:szCs w:val="21"/>
                <w:lang w:val="en-US" w:eastAsia="zh-CN"/>
              </w:rPr>
              <w:t>G</w:t>
            </w:r>
            <w:r>
              <w:rPr>
                <w:rFonts w:hint="default" w:ascii="Times New Roman" w:hAnsi="Times New Roman" w:eastAsia="宋体" w:cs="Times New Roman"/>
                <w:bCs/>
                <w:kern w:val="0"/>
                <w:sz w:val="21"/>
                <w:szCs w:val="21"/>
                <w:vertAlign w:val="subscript"/>
                <w:lang w:val="en-US" w:eastAsia="zh-CN"/>
              </w:rPr>
              <w:t>2</w:t>
            </w:r>
            <w:r>
              <w:rPr>
                <w:rFonts w:hint="eastAsia" w:ascii="Times New Roman" w:hAnsi="Times New Roman" w:eastAsia="宋体" w:cs="Times New Roman"/>
                <w:bCs/>
                <w:kern w:val="0"/>
                <w:sz w:val="21"/>
                <w:szCs w:val="21"/>
                <w:vertAlign w:val="baseline"/>
                <w:lang w:val="en-US" w:eastAsia="zh-CN"/>
              </w:rPr>
              <w:t>站界南侧</w:t>
            </w: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0.95</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0.92</w:t>
            </w:r>
          </w:p>
        </w:tc>
        <w:tc>
          <w:tcPr>
            <w:tcW w:w="2075"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0.95</w:t>
            </w: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0.86</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0.79</w:t>
            </w:r>
          </w:p>
        </w:tc>
        <w:tc>
          <w:tcPr>
            <w:tcW w:w="20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0.82</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0.87</w:t>
            </w:r>
          </w:p>
        </w:tc>
        <w:tc>
          <w:tcPr>
            <w:tcW w:w="20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bCs/>
                <w:kern w:val="0"/>
                <w:sz w:val="21"/>
                <w:szCs w:val="21"/>
                <w:lang w:val="en-US" w:eastAsia="zh-CN"/>
              </w:rPr>
              <w:t>G</w:t>
            </w:r>
            <w:r>
              <w:rPr>
                <w:rFonts w:hint="default" w:ascii="Times New Roman" w:hAnsi="Times New Roman" w:eastAsia="宋体" w:cs="Times New Roman"/>
                <w:bCs/>
                <w:kern w:val="0"/>
                <w:sz w:val="21"/>
                <w:szCs w:val="21"/>
                <w:vertAlign w:val="subscript"/>
                <w:lang w:val="en-US" w:eastAsia="zh-CN"/>
              </w:rPr>
              <w:t>3</w:t>
            </w:r>
            <w:r>
              <w:rPr>
                <w:rFonts w:hint="eastAsia" w:ascii="Times New Roman" w:hAnsi="Times New Roman" w:eastAsia="宋体" w:cs="Times New Roman"/>
                <w:bCs/>
                <w:kern w:val="0"/>
                <w:sz w:val="21"/>
                <w:szCs w:val="21"/>
                <w:lang w:val="en-US" w:eastAsia="zh-CN"/>
              </w:rPr>
              <w:t>站界西北侧</w:t>
            </w: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0.89</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0.87</w:t>
            </w:r>
          </w:p>
        </w:tc>
        <w:tc>
          <w:tcPr>
            <w:tcW w:w="2075"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0.92</w:t>
            </w: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0.89</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0.71</w:t>
            </w:r>
          </w:p>
        </w:tc>
        <w:tc>
          <w:tcPr>
            <w:tcW w:w="20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99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41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0.92</w:t>
            </w:r>
          </w:p>
        </w:tc>
        <w:tc>
          <w:tcPr>
            <w:tcW w:w="1222"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0.80</w:t>
            </w:r>
          </w:p>
        </w:tc>
        <w:tc>
          <w:tcPr>
            <w:tcW w:w="20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2229"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exact"/>
          <w:jc w:val="center"/>
        </w:trPr>
        <w:tc>
          <w:tcPr>
            <w:tcW w:w="4636" w:type="dxa"/>
            <w:gridSpan w:val="3"/>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lang w:eastAsia="zh-CN"/>
              </w:rPr>
            </w:pPr>
            <w:r>
              <w:rPr>
                <w:rFonts w:hint="default" w:ascii="Times New Roman" w:hAnsi="Times New Roman" w:eastAsia="宋体" w:cs="Times New Roman"/>
                <w:bCs/>
                <w:kern w:val="0"/>
                <w:sz w:val="21"/>
                <w:szCs w:val="21"/>
                <w:lang w:eastAsia="zh-CN"/>
              </w:rPr>
              <w:t>达标情况</w:t>
            </w:r>
          </w:p>
        </w:tc>
        <w:tc>
          <w:tcPr>
            <w:tcW w:w="207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bCs/>
                <w:kern w:val="0"/>
                <w:sz w:val="21"/>
                <w:szCs w:val="21"/>
                <w:lang w:eastAsia="zh-CN"/>
              </w:rPr>
              <w:t>达标</w:t>
            </w:r>
          </w:p>
        </w:tc>
        <w:tc>
          <w:tcPr>
            <w:tcW w:w="222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482" w:rightChars="0" w:firstLine="0" w:firstLineChars="0"/>
        <w:jc w:val="center"/>
        <w:textAlignment w:val="auto"/>
        <w:outlineLvl w:val="9"/>
        <w:rPr>
          <w:rFonts w:hint="default" w:ascii="Times New Roman" w:hAnsi="Times New Roman" w:eastAsia="宋体" w:cs="Times New Roman"/>
          <w:b/>
          <w:bCs/>
          <w:kern w:val="0"/>
          <w:sz w:val="28"/>
          <w:szCs w:val="28"/>
          <w:highlight w:val="none"/>
          <w:lang w:val="en-US" w:eastAsia="zh-CN"/>
        </w:rPr>
      </w:pPr>
      <w:bookmarkStart w:id="126" w:name="_Toc25829"/>
      <w:bookmarkStart w:id="127" w:name="_Toc30284"/>
      <w:bookmarkStart w:id="128" w:name="_Toc25888"/>
      <w:bookmarkStart w:id="129" w:name="_Toc19182"/>
      <w:bookmarkStart w:id="130" w:name="_Toc178"/>
      <w:r>
        <w:rPr>
          <w:rFonts w:hint="default" w:ascii="Times New Roman" w:hAnsi="Times New Roman" w:eastAsia="宋体" w:cs="Times New Roman"/>
          <w:b/>
          <w:bCs/>
          <w:kern w:val="0"/>
          <w:sz w:val="28"/>
          <w:szCs w:val="28"/>
          <w:highlight w:val="none"/>
        </w:rPr>
        <w:t>表</w:t>
      </w:r>
      <w:r>
        <w:rPr>
          <w:rFonts w:hint="eastAsia" w:ascii="Times New Roman" w:hAnsi="Times New Roman" w:eastAsia="宋体" w:cs="Times New Roman"/>
          <w:b/>
          <w:bCs/>
          <w:kern w:val="0"/>
          <w:sz w:val="28"/>
          <w:szCs w:val="28"/>
          <w:highlight w:val="none"/>
          <w:lang w:val="en-US" w:eastAsia="zh-CN"/>
        </w:rPr>
        <w:t>8</w:t>
      </w:r>
      <w:r>
        <w:rPr>
          <w:rFonts w:hint="default" w:ascii="Times New Roman" w:hAnsi="Times New Roman" w:eastAsia="宋体" w:cs="Times New Roman"/>
          <w:b/>
          <w:bCs/>
          <w:kern w:val="0"/>
          <w:sz w:val="28"/>
          <w:szCs w:val="28"/>
          <w:highlight w:val="none"/>
          <w:lang w:val="en-US" w:eastAsia="zh-CN"/>
        </w:rPr>
        <w:t xml:space="preserve"> </w:t>
      </w:r>
      <w:r>
        <w:rPr>
          <w:rFonts w:hint="default" w:ascii="Times New Roman" w:hAnsi="Times New Roman" w:eastAsia="宋体" w:cs="Times New Roman"/>
          <w:b/>
          <w:bCs/>
          <w:kern w:val="0"/>
          <w:sz w:val="28"/>
          <w:szCs w:val="28"/>
          <w:highlight w:val="none"/>
          <w:lang w:eastAsia="zh-CN"/>
        </w:rPr>
        <w:t>站</w:t>
      </w:r>
      <w:r>
        <w:rPr>
          <w:rFonts w:hint="default" w:ascii="Times New Roman" w:hAnsi="Times New Roman" w:eastAsia="宋体" w:cs="Times New Roman"/>
          <w:b/>
          <w:bCs/>
          <w:kern w:val="0"/>
          <w:sz w:val="28"/>
          <w:szCs w:val="28"/>
          <w:highlight w:val="none"/>
        </w:rPr>
        <w:t>界噪声测</w:t>
      </w:r>
      <w:r>
        <w:rPr>
          <w:rFonts w:hint="default" w:ascii="Times New Roman" w:hAnsi="Times New Roman" w:eastAsia="宋体" w:cs="Times New Roman"/>
          <w:b/>
          <w:bCs/>
          <w:kern w:val="0"/>
          <w:sz w:val="28"/>
          <w:szCs w:val="28"/>
          <w:highlight w:val="none"/>
          <w:lang w:eastAsia="zh-CN"/>
        </w:rPr>
        <w:t>量</w:t>
      </w:r>
      <w:r>
        <w:rPr>
          <w:rFonts w:hint="default" w:ascii="Times New Roman" w:hAnsi="Times New Roman" w:eastAsia="宋体" w:cs="Times New Roman"/>
          <w:b/>
          <w:bCs/>
          <w:kern w:val="0"/>
          <w:sz w:val="28"/>
          <w:szCs w:val="28"/>
          <w:highlight w:val="none"/>
        </w:rPr>
        <w:t>结果</w:t>
      </w:r>
      <w:bookmarkEnd w:id="126"/>
      <w:bookmarkEnd w:id="127"/>
      <w:bookmarkEnd w:id="128"/>
      <w:bookmarkEnd w:id="129"/>
      <w:bookmarkEnd w:id="130"/>
      <w:r>
        <w:rPr>
          <w:rFonts w:hint="default" w:ascii="Times New Roman" w:hAnsi="Times New Roman" w:eastAsia="宋体" w:cs="Times New Roman"/>
          <w:b/>
          <w:bCs/>
          <w:kern w:val="0"/>
          <w:sz w:val="28"/>
          <w:szCs w:val="28"/>
          <w:highlight w:val="none"/>
          <w:lang w:val="en-US" w:eastAsia="zh-CN"/>
        </w:rPr>
        <w:t xml:space="preserve">     单位：dB(A )</w:t>
      </w:r>
    </w:p>
    <w:tbl>
      <w:tblPr>
        <w:tblStyle w:val="17"/>
        <w:tblW w:w="9400" w:type="dxa"/>
        <w:jc w:val="center"/>
        <w:tblInd w:w="7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96"/>
        <w:gridCol w:w="1000"/>
        <w:gridCol w:w="955"/>
        <w:gridCol w:w="711"/>
        <w:gridCol w:w="1051"/>
        <w:gridCol w:w="881"/>
        <w:gridCol w:w="805"/>
        <w:gridCol w:w="977"/>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exact"/>
          <w:jc w:val="center"/>
        </w:trPr>
        <w:tc>
          <w:tcPr>
            <w:tcW w:w="588" w:type="dxa"/>
            <w:vMerge w:val="restart"/>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编号</w:t>
            </w:r>
          </w:p>
        </w:tc>
        <w:tc>
          <w:tcPr>
            <w:tcW w:w="896" w:type="dxa"/>
            <w:vMerge w:val="restart"/>
            <w:vAlign w:val="center"/>
          </w:tcPr>
          <w:p>
            <w:pPr>
              <w:spacing w:line="380" w:lineRule="exact"/>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检</w:t>
            </w:r>
            <w:r>
              <w:rPr>
                <w:rFonts w:hint="default" w:ascii="Times New Roman" w:hAnsi="Times New Roman" w:cs="Times New Roman" w:eastAsiaTheme="minorEastAsia"/>
                <w:color w:val="000000" w:themeColor="text1"/>
                <w:sz w:val="21"/>
                <w:szCs w:val="21"/>
                <w14:textFill>
                  <w14:solidFill>
                    <w14:schemeClr w14:val="tx1"/>
                  </w14:solidFill>
                </w14:textFill>
              </w:rPr>
              <w:t>测</w:t>
            </w:r>
          </w:p>
          <w:p>
            <w:pPr>
              <w:spacing w:line="380" w:lineRule="exact"/>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点位</w:t>
            </w:r>
          </w:p>
        </w:tc>
        <w:tc>
          <w:tcPr>
            <w:tcW w:w="5403" w:type="dxa"/>
            <w:gridSpan w:val="6"/>
            <w:vAlign w:val="center"/>
          </w:tcPr>
          <w:p>
            <w:pPr>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测量日期</w:t>
            </w:r>
          </w:p>
        </w:tc>
        <w:tc>
          <w:tcPr>
            <w:tcW w:w="2513" w:type="dxa"/>
            <w:gridSpan w:val="2"/>
            <w:vMerge w:val="restart"/>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pacing w:val="-11"/>
                <w:sz w:val="21"/>
                <w:szCs w:val="21"/>
                <w:lang w:eastAsia="zh-CN"/>
                <w14:textFill>
                  <w14:solidFill>
                    <w14:schemeClr w14:val="tx1"/>
                  </w14:solidFill>
                </w14:textFill>
              </w:rPr>
              <w:t>《工业企业厂界环境噪声排放标准》</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（GB12348-2008）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2类、4类标准</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exact"/>
          <w:jc w:val="center"/>
        </w:trPr>
        <w:tc>
          <w:tcPr>
            <w:tcW w:w="588" w:type="dxa"/>
            <w:vMerge w:val="continue"/>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96" w:type="dxa"/>
            <w:vMerge w:val="continue"/>
            <w:vAlign w:val="center"/>
          </w:tcPr>
          <w:p>
            <w:pPr>
              <w:spacing w:line="380" w:lineRule="exact"/>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666" w:type="dxa"/>
            <w:gridSpan w:val="3"/>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17</w:t>
            </w:r>
            <w:r>
              <w:rPr>
                <w:rFonts w:hint="default" w:ascii="Times New Roman" w:hAnsi="Times New Roman" w:eastAsia="宋体" w:cs="Times New Roman"/>
                <w:kern w:val="0"/>
                <w:sz w:val="21"/>
                <w:szCs w:val="21"/>
              </w:rPr>
              <w:t>日</w:t>
            </w:r>
          </w:p>
        </w:tc>
        <w:tc>
          <w:tcPr>
            <w:tcW w:w="2737" w:type="dxa"/>
            <w:gridSpan w:val="3"/>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18</w:t>
            </w:r>
            <w:r>
              <w:rPr>
                <w:rFonts w:hint="default" w:ascii="Times New Roman" w:hAnsi="Times New Roman" w:eastAsia="宋体" w:cs="Times New Roman"/>
                <w:kern w:val="0"/>
                <w:sz w:val="21"/>
                <w:szCs w:val="21"/>
              </w:rPr>
              <w:t>日</w:t>
            </w:r>
          </w:p>
        </w:tc>
        <w:tc>
          <w:tcPr>
            <w:tcW w:w="2513" w:type="dxa"/>
            <w:gridSpan w:val="2"/>
            <w:vMerge w:val="continue"/>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exact"/>
          <w:jc w:val="center"/>
        </w:trPr>
        <w:tc>
          <w:tcPr>
            <w:tcW w:w="588" w:type="dxa"/>
            <w:vMerge w:val="continue"/>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96" w:type="dxa"/>
            <w:vMerge w:val="continue"/>
            <w:vAlign w:val="center"/>
          </w:tcPr>
          <w:p>
            <w:pPr>
              <w:spacing w:line="380" w:lineRule="exact"/>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955" w:type="dxa"/>
            <w:gridSpan w:val="2"/>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昼间</w:t>
            </w:r>
          </w:p>
        </w:tc>
        <w:tc>
          <w:tcPr>
            <w:tcW w:w="711" w:type="dxa"/>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夜间</w:t>
            </w:r>
          </w:p>
        </w:tc>
        <w:tc>
          <w:tcPr>
            <w:tcW w:w="1932" w:type="dxa"/>
            <w:gridSpan w:val="2"/>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昼间</w:t>
            </w:r>
          </w:p>
        </w:tc>
        <w:tc>
          <w:tcPr>
            <w:tcW w:w="805" w:type="dxa"/>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夜间</w:t>
            </w:r>
          </w:p>
        </w:tc>
        <w:tc>
          <w:tcPr>
            <w:tcW w:w="977" w:type="dxa"/>
            <w:vMerge w:val="restart"/>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昼间</w:t>
            </w:r>
          </w:p>
        </w:tc>
        <w:tc>
          <w:tcPr>
            <w:tcW w:w="1536" w:type="dxa"/>
            <w:vMerge w:val="restart"/>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exact"/>
          <w:jc w:val="center"/>
        </w:trPr>
        <w:tc>
          <w:tcPr>
            <w:tcW w:w="588" w:type="dxa"/>
            <w:vMerge w:val="continue"/>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896" w:type="dxa"/>
            <w:vMerge w:val="continue"/>
            <w:vAlign w:val="center"/>
          </w:tcPr>
          <w:p>
            <w:pPr>
              <w:spacing w:line="380" w:lineRule="exact"/>
              <w:jc w:val="center"/>
              <w:textAlignment w:val="baseline"/>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00" w:type="dxa"/>
            <w:vAlign w:val="center"/>
          </w:tcPr>
          <w:p>
            <w:pPr>
              <w:jc w:val="center"/>
              <w:rPr>
                <w:rFonts w:hint="default" w:ascii="Times New Roman" w:hAnsi="Times New Roman" w:cs="Times New Roman" w:eastAsiaTheme="minorEastAsia"/>
                <w:color w:val="000000" w:themeColor="text1"/>
                <w:spacing w:val="-1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pacing w:val="-11"/>
                <w:sz w:val="21"/>
                <w:szCs w:val="21"/>
                <w:lang w:eastAsia="zh-CN"/>
                <w14:textFill>
                  <w14:solidFill>
                    <w14:schemeClr w14:val="tx1"/>
                  </w14:solidFill>
                </w14:textFill>
              </w:rPr>
              <w:t>未控制外源噪声</w:t>
            </w:r>
          </w:p>
        </w:tc>
        <w:tc>
          <w:tcPr>
            <w:tcW w:w="1666" w:type="dxa"/>
            <w:gridSpan w:val="2"/>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控制外源噪声</w:t>
            </w:r>
          </w:p>
        </w:tc>
        <w:tc>
          <w:tcPr>
            <w:tcW w:w="1051" w:type="dxa"/>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pacing w:val="-11"/>
                <w:sz w:val="21"/>
                <w:szCs w:val="21"/>
                <w:lang w:eastAsia="zh-CN"/>
                <w14:textFill>
                  <w14:solidFill>
                    <w14:schemeClr w14:val="tx1"/>
                  </w14:solidFill>
                </w14:textFill>
              </w:rPr>
              <w:t>未控制外源噪声</w:t>
            </w:r>
          </w:p>
        </w:tc>
        <w:tc>
          <w:tcPr>
            <w:tcW w:w="1686" w:type="dxa"/>
            <w:gridSpan w:val="2"/>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控制外源噪声</w:t>
            </w:r>
          </w:p>
        </w:tc>
        <w:tc>
          <w:tcPr>
            <w:tcW w:w="977" w:type="dxa"/>
            <w:vMerge w:val="continue"/>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536" w:type="dxa"/>
            <w:vMerge w:val="continue"/>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588" w:type="dxa"/>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N</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1</w:t>
            </w:r>
          </w:p>
        </w:tc>
        <w:tc>
          <w:tcPr>
            <w:tcW w:w="896" w:type="dxa"/>
            <w:vAlign w:val="center"/>
          </w:tcPr>
          <w:p>
            <w:pPr>
              <w:spacing w:line="320" w:lineRule="exact"/>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站界东</w:t>
            </w:r>
          </w:p>
        </w:tc>
        <w:tc>
          <w:tcPr>
            <w:tcW w:w="1000"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61.0</w:t>
            </w:r>
          </w:p>
        </w:tc>
        <w:tc>
          <w:tcPr>
            <w:tcW w:w="955"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57.0</w:t>
            </w:r>
          </w:p>
        </w:tc>
        <w:tc>
          <w:tcPr>
            <w:tcW w:w="71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49.4</w:t>
            </w:r>
          </w:p>
        </w:tc>
        <w:tc>
          <w:tcPr>
            <w:tcW w:w="105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52.5</w:t>
            </w:r>
          </w:p>
        </w:tc>
        <w:tc>
          <w:tcPr>
            <w:tcW w:w="88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56.4</w:t>
            </w:r>
          </w:p>
        </w:tc>
        <w:tc>
          <w:tcPr>
            <w:tcW w:w="805"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44.3</w:t>
            </w:r>
          </w:p>
        </w:tc>
        <w:tc>
          <w:tcPr>
            <w:tcW w:w="977" w:type="dxa"/>
            <w:vMerge w:val="restart"/>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w:t>
            </w:r>
          </w:p>
        </w:tc>
        <w:tc>
          <w:tcPr>
            <w:tcW w:w="1536" w:type="dxa"/>
            <w:vMerge w:val="restart"/>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588" w:type="dxa"/>
            <w:vAlign w:val="center"/>
          </w:tcPr>
          <w:p>
            <w:pPr>
              <w:jc w:val="cente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N</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p>
        </w:tc>
        <w:tc>
          <w:tcPr>
            <w:tcW w:w="896" w:type="dxa"/>
            <w:vAlign w:val="center"/>
          </w:tcPr>
          <w:p>
            <w:pPr>
              <w:spacing w:line="32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站界西</w:t>
            </w:r>
          </w:p>
        </w:tc>
        <w:tc>
          <w:tcPr>
            <w:tcW w:w="1000"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69.8</w:t>
            </w:r>
          </w:p>
        </w:tc>
        <w:tc>
          <w:tcPr>
            <w:tcW w:w="955"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57.4</w:t>
            </w:r>
          </w:p>
        </w:tc>
        <w:tc>
          <w:tcPr>
            <w:tcW w:w="711" w:type="dxa"/>
            <w:vAlign w:val="center"/>
          </w:tcPr>
          <w:p>
            <w:pPr>
              <w:spacing w:line="32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44.9</w:t>
            </w:r>
          </w:p>
        </w:tc>
        <w:tc>
          <w:tcPr>
            <w:tcW w:w="105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56.2</w:t>
            </w:r>
          </w:p>
        </w:tc>
        <w:tc>
          <w:tcPr>
            <w:tcW w:w="88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57.0</w:t>
            </w:r>
          </w:p>
        </w:tc>
        <w:tc>
          <w:tcPr>
            <w:tcW w:w="805"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47.4</w:t>
            </w:r>
          </w:p>
        </w:tc>
        <w:tc>
          <w:tcPr>
            <w:tcW w:w="977" w:type="dxa"/>
            <w:vMerge w:val="continue"/>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536" w:type="dxa"/>
            <w:vMerge w:val="continue"/>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588" w:type="dxa"/>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N</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4</w:t>
            </w:r>
          </w:p>
        </w:tc>
        <w:tc>
          <w:tcPr>
            <w:tcW w:w="896" w:type="dxa"/>
            <w:vAlign w:val="center"/>
          </w:tcPr>
          <w:p>
            <w:pPr>
              <w:spacing w:line="32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站界北</w:t>
            </w:r>
          </w:p>
        </w:tc>
        <w:tc>
          <w:tcPr>
            <w:tcW w:w="1000"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60.7</w:t>
            </w:r>
          </w:p>
        </w:tc>
        <w:tc>
          <w:tcPr>
            <w:tcW w:w="955"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55.8</w:t>
            </w:r>
          </w:p>
        </w:tc>
        <w:tc>
          <w:tcPr>
            <w:tcW w:w="71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47.5</w:t>
            </w:r>
          </w:p>
        </w:tc>
        <w:tc>
          <w:tcPr>
            <w:tcW w:w="105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56.5</w:t>
            </w:r>
          </w:p>
        </w:tc>
        <w:tc>
          <w:tcPr>
            <w:tcW w:w="88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56.9</w:t>
            </w:r>
          </w:p>
        </w:tc>
        <w:tc>
          <w:tcPr>
            <w:tcW w:w="805"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45.1</w:t>
            </w:r>
          </w:p>
        </w:tc>
        <w:tc>
          <w:tcPr>
            <w:tcW w:w="977" w:type="dxa"/>
            <w:vMerge w:val="continue"/>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536" w:type="dxa"/>
            <w:vMerge w:val="continue"/>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588" w:type="dxa"/>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t>N</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2</w:t>
            </w:r>
          </w:p>
        </w:tc>
        <w:tc>
          <w:tcPr>
            <w:tcW w:w="896" w:type="dxa"/>
            <w:vAlign w:val="center"/>
          </w:tcPr>
          <w:p>
            <w:pPr>
              <w:spacing w:line="32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站界南</w:t>
            </w:r>
          </w:p>
        </w:tc>
        <w:tc>
          <w:tcPr>
            <w:tcW w:w="1000"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73.6</w:t>
            </w:r>
          </w:p>
        </w:tc>
        <w:tc>
          <w:tcPr>
            <w:tcW w:w="955"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55.2</w:t>
            </w:r>
          </w:p>
        </w:tc>
        <w:tc>
          <w:tcPr>
            <w:tcW w:w="71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48.1</w:t>
            </w:r>
          </w:p>
        </w:tc>
        <w:tc>
          <w:tcPr>
            <w:tcW w:w="105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68.0</w:t>
            </w:r>
          </w:p>
        </w:tc>
        <w:tc>
          <w:tcPr>
            <w:tcW w:w="881"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56.4</w:t>
            </w:r>
          </w:p>
        </w:tc>
        <w:tc>
          <w:tcPr>
            <w:tcW w:w="805" w:type="dxa"/>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44.8</w:t>
            </w:r>
          </w:p>
        </w:tc>
        <w:tc>
          <w:tcPr>
            <w:tcW w:w="977" w:type="dxa"/>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70</w:t>
            </w:r>
          </w:p>
        </w:tc>
        <w:tc>
          <w:tcPr>
            <w:tcW w:w="1536" w:type="dxa"/>
            <w:vAlign w:val="center"/>
          </w:tcPr>
          <w:p>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484" w:type="dxa"/>
            <w:gridSpan w:val="2"/>
            <w:vAlign w:val="center"/>
          </w:tcPr>
          <w:p>
            <w:pPr>
              <w:spacing w:line="320" w:lineRule="exact"/>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达标情况</w:t>
            </w:r>
          </w:p>
        </w:tc>
        <w:tc>
          <w:tcPr>
            <w:tcW w:w="1000" w:type="dxa"/>
            <w:vAlign w:val="center"/>
          </w:tcPr>
          <w:p>
            <w:pPr>
              <w:spacing w:line="32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不达标</w:t>
            </w:r>
          </w:p>
        </w:tc>
        <w:tc>
          <w:tcPr>
            <w:tcW w:w="955" w:type="dxa"/>
            <w:vAlign w:val="center"/>
          </w:tcPr>
          <w:p>
            <w:pPr>
              <w:spacing w:line="32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达标</w:t>
            </w:r>
          </w:p>
        </w:tc>
        <w:tc>
          <w:tcPr>
            <w:tcW w:w="711" w:type="dxa"/>
            <w:vAlign w:val="center"/>
          </w:tcPr>
          <w:p>
            <w:pPr>
              <w:spacing w:line="32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达标</w:t>
            </w:r>
          </w:p>
        </w:tc>
        <w:tc>
          <w:tcPr>
            <w:tcW w:w="1051" w:type="dxa"/>
            <w:vAlign w:val="center"/>
          </w:tcPr>
          <w:p>
            <w:pPr>
              <w:spacing w:line="32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不达标</w:t>
            </w:r>
          </w:p>
        </w:tc>
        <w:tc>
          <w:tcPr>
            <w:tcW w:w="881" w:type="dxa"/>
            <w:vAlign w:val="center"/>
          </w:tcPr>
          <w:p>
            <w:pPr>
              <w:spacing w:line="32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达标</w:t>
            </w:r>
          </w:p>
        </w:tc>
        <w:tc>
          <w:tcPr>
            <w:tcW w:w="805" w:type="dxa"/>
            <w:vAlign w:val="center"/>
          </w:tcPr>
          <w:p>
            <w:pPr>
              <w:spacing w:line="320" w:lineRule="exact"/>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达标</w:t>
            </w:r>
          </w:p>
        </w:tc>
        <w:tc>
          <w:tcPr>
            <w:tcW w:w="2513" w:type="dxa"/>
            <w:gridSpan w:val="2"/>
            <w:vAlign w:val="center"/>
          </w:tcPr>
          <w:p>
            <w:pPr>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1" w:hRule="exact"/>
          <w:jc w:val="center"/>
        </w:trPr>
        <w:tc>
          <w:tcPr>
            <w:tcW w:w="9400" w:type="dxa"/>
            <w:gridSpan w:val="10"/>
            <w:vAlign w:val="center"/>
          </w:tcPr>
          <w:p>
            <w:pPr>
              <w:ind w:firstLine="210" w:firstLineChars="100"/>
              <w:jc w:val="both"/>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备注：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站界</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南</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侧</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2临主干道，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w:t>
            </w:r>
            <w:r>
              <w:rPr>
                <w:rFonts w:hint="default" w:ascii="Times New Roman" w:hAnsi="Times New Roman" w:cs="Times New Roman" w:eastAsiaTheme="minorEastAsia"/>
                <w:color w:val="000000" w:themeColor="text1"/>
                <w:spacing w:val="-11"/>
                <w:sz w:val="21"/>
                <w:szCs w:val="21"/>
                <w:lang w:eastAsia="zh-CN"/>
                <w14:textFill>
                  <w14:solidFill>
                    <w14:schemeClr w14:val="tx1"/>
                  </w14:solidFill>
                </w14:textFill>
              </w:rPr>
              <w:t>《工业企业厂界环境噪声排放标准》</w:t>
            </w:r>
            <w:r>
              <w:rPr>
                <w:rFonts w:hint="default" w:ascii="Times New Roman" w:hAnsi="Times New Roman" w:cs="Times New Roman" w:eastAsiaTheme="minorEastAsia"/>
                <w:color w:val="000000" w:themeColor="text1"/>
                <w:spacing w:val="-1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4类标准</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限值；</w:t>
            </w:r>
          </w:p>
          <w:p>
            <w:pPr>
              <w:ind w:firstLine="840" w:firstLineChars="400"/>
              <w:jc w:val="both"/>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该站临交通主干道，受过往车辆及人员影响较大，背景值较高。</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r>
    </w:tbl>
    <w:p>
      <w:pPr>
        <w:pStyle w:val="2"/>
        <w:rPr>
          <w:rFonts w:hint="default"/>
        </w:rPr>
      </w:pPr>
    </w:p>
    <w:p>
      <w:pPr>
        <w:pStyle w:val="3"/>
        <w:keepNext/>
        <w:keepLines/>
        <w:pageBreakBefore w:val="0"/>
        <w:widowControl w:val="0"/>
        <w:kinsoku/>
        <w:wordWrap/>
        <w:overflowPunct/>
        <w:topLinePunct w:val="0"/>
        <w:autoSpaceDE/>
        <w:autoSpaceDN/>
        <w:bidi w:val="0"/>
        <w:adjustRightInd/>
        <w:snapToGrid/>
        <w:spacing w:before="0" w:beforeLines="0" w:after="0" w:afterLines="0"/>
        <w:textAlignment w:val="auto"/>
        <w:outlineLvl w:val="0"/>
        <w:rPr>
          <w:rFonts w:hint="default" w:ascii="Times New Roman" w:hAnsi="Times New Roman" w:cs="Times New Roman"/>
          <w:lang w:eastAsia="zh-CN"/>
        </w:rPr>
      </w:pPr>
      <w:bookmarkStart w:id="131" w:name="_Toc19278"/>
      <w:bookmarkStart w:id="132" w:name="_Toc25524"/>
      <w:bookmarkStart w:id="133" w:name="_Toc18002"/>
      <w:r>
        <w:rPr>
          <w:rFonts w:hint="default" w:ascii="Times New Roman" w:hAnsi="Times New Roman" w:cs="Times New Roman"/>
          <w:lang w:val="en-US" w:eastAsia="zh-CN"/>
        </w:rPr>
        <w:t>八、</w:t>
      </w:r>
      <w:r>
        <w:rPr>
          <w:rFonts w:hint="default" w:ascii="Times New Roman" w:hAnsi="Times New Roman" w:cs="Times New Roman"/>
          <w:lang w:eastAsia="zh-CN"/>
        </w:rPr>
        <w:t>环境管理检查</w:t>
      </w:r>
      <w:bookmarkEnd w:id="131"/>
    </w:p>
    <w:p>
      <w:pPr>
        <w:spacing w:line="360" w:lineRule="auto"/>
        <w:ind w:firstLine="560" w:firstLineChars="200"/>
        <w:rPr>
          <w:rFonts w:hint="default" w:ascii="Times New Roman" w:hAnsi="Times New Roman" w:cs="Times New Roman" w:eastAsiaTheme="minorEastAsia"/>
          <w:bCs/>
          <w:kern w:val="0"/>
          <w:sz w:val="28"/>
          <w:szCs w:val="28"/>
          <w:lang w:eastAsia="zh-CN"/>
        </w:rPr>
      </w:pPr>
      <w:bookmarkStart w:id="134" w:name="_Toc453988469"/>
      <w:bookmarkStart w:id="135" w:name="_Toc180168344"/>
      <w:bookmarkStart w:id="136" w:name="_Toc179651500"/>
      <w:bookmarkStart w:id="137" w:name="_Toc183757698"/>
      <w:r>
        <w:rPr>
          <w:rFonts w:hint="default" w:ascii="Times New Roman" w:hAnsi="Times New Roman" w:cs="Times New Roman" w:eastAsiaTheme="minorEastAsia"/>
          <w:bCs/>
          <w:kern w:val="0"/>
          <w:sz w:val="28"/>
          <w:szCs w:val="28"/>
        </w:rPr>
        <w:t>1、施工期环保措施落实情况、监理情况(工业类项目从简，生态类项目重点介绍)</w:t>
      </w:r>
      <w:r>
        <w:rPr>
          <w:rFonts w:hint="eastAsia" w:ascii="Times New Roman" w:hAnsi="Times New Roman" w:cs="Times New Roman" w:eastAsiaTheme="minorEastAsia"/>
          <w:bCs/>
          <w:kern w:val="0"/>
          <w:sz w:val="28"/>
          <w:szCs w:val="28"/>
          <w:lang w:eastAsia="zh-CN"/>
        </w:rPr>
        <w:t>：</w:t>
      </w:r>
      <w:r>
        <w:rPr>
          <w:rFonts w:hint="default" w:ascii="Times New Roman" w:hAnsi="Times New Roman" w:cs="Times New Roman" w:eastAsiaTheme="minorEastAsia"/>
          <w:bCs/>
          <w:kern w:val="0"/>
          <w:sz w:val="28"/>
          <w:szCs w:val="28"/>
          <w:lang w:eastAsia="zh-CN"/>
        </w:rPr>
        <w:t>本项目施工期早已结束，未执行环境监理。</w:t>
      </w:r>
    </w:p>
    <w:p>
      <w:pPr>
        <w:numPr>
          <w:ilvl w:val="0"/>
          <w:numId w:val="2"/>
        </w:numPr>
        <w:spacing w:line="360" w:lineRule="auto"/>
        <w:ind w:left="0" w:leftChars="0" w:firstLine="638" w:firstLineChars="228"/>
        <w:rPr>
          <w:rFonts w:hint="default" w:ascii="Times New Roman" w:hAnsi="Times New Roman" w:cs="Times New Roman" w:eastAsiaTheme="minorEastAsia"/>
          <w:bCs/>
          <w:kern w:val="0"/>
          <w:sz w:val="28"/>
          <w:szCs w:val="28"/>
        </w:rPr>
      </w:pPr>
      <w:r>
        <w:rPr>
          <w:rFonts w:hint="default" w:ascii="Times New Roman" w:hAnsi="Times New Roman" w:cs="Times New Roman" w:eastAsiaTheme="minorEastAsia"/>
          <w:bCs/>
          <w:kern w:val="0"/>
          <w:sz w:val="28"/>
          <w:szCs w:val="28"/>
        </w:rPr>
        <w:t>各类环保设施或措施(水、气、声、渣等)建设及落实情况，试生产</w:t>
      </w:r>
    </w:p>
    <w:p>
      <w:pPr>
        <w:numPr>
          <w:ilvl w:val="0"/>
          <w:numId w:val="0"/>
        </w:numPr>
        <w:spacing w:line="360" w:lineRule="auto"/>
        <w:rPr>
          <w:rFonts w:hint="default" w:ascii="Times New Roman" w:hAnsi="Times New Roman" w:cs="Times New Roman" w:eastAsiaTheme="minorEastAsia"/>
          <w:b/>
          <w:kern w:val="0"/>
          <w:sz w:val="28"/>
          <w:szCs w:val="28"/>
        </w:rPr>
      </w:pPr>
      <w:r>
        <w:rPr>
          <w:rFonts w:hint="default" w:ascii="Times New Roman" w:hAnsi="Times New Roman" w:cs="Times New Roman" w:eastAsiaTheme="minorEastAsia"/>
          <w:bCs/>
          <w:kern w:val="0"/>
          <w:sz w:val="28"/>
          <w:szCs w:val="28"/>
        </w:rPr>
        <w:t>或试运行以来运行状况：</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bCs/>
          <w:kern w:val="0"/>
          <w:sz w:val="28"/>
          <w:szCs w:val="28"/>
        </w:rPr>
        <w:t>项目各项环保措施基本落实，试运行期间环保设施及运行工况稳定。</w:t>
      </w:r>
    </w:p>
    <w:p>
      <w:pPr>
        <w:widowControl/>
        <w:spacing w:line="360" w:lineRule="auto"/>
        <w:jc w:val="left"/>
        <w:rPr>
          <w:rFonts w:hint="default" w:ascii="Times New Roman" w:hAnsi="Times New Roman" w:cs="Times New Roman" w:eastAsiaTheme="minorEastAsia"/>
          <w:bCs/>
          <w:kern w:val="0"/>
          <w:sz w:val="28"/>
          <w:szCs w:val="28"/>
        </w:rPr>
      </w:pPr>
      <w:r>
        <w:rPr>
          <w:rFonts w:hint="default" w:ascii="Times New Roman" w:hAnsi="Times New Roman" w:cs="Times New Roman" w:eastAsiaTheme="minorEastAsia"/>
          <w:b/>
          <w:kern w:val="0"/>
          <w:sz w:val="28"/>
          <w:szCs w:val="28"/>
        </w:rPr>
        <w:t xml:space="preserve">    </w:t>
      </w:r>
      <w:r>
        <w:rPr>
          <w:rFonts w:hint="default" w:ascii="Times New Roman" w:hAnsi="Times New Roman" w:cs="Times New Roman" w:eastAsiaTheme="minorEastAsia"/>
          <w:bCs/>
          <w:kern w:val="0"/>
          <w:sz w:val="28"/>
          <w:szCs w:val="28"/>
        </w:rPr>
        <w:t>3、建设项目的性质、规模、地点或者采用的生产工艺是否发生变化，如果发生变化是否申请变更或重新报批环评文件：</w:t>
      </w:r>
    </w:p>
    <w:p>
      <w:pPr>
        <w:widowControl/>
        <w:spacing w:line="360" w:lineRule="auto"/>
        <w:ind w:firstLine="560"/>
        <w:jc w:val="left"/>
        <w:rPr>
          <w:rFonts w:hint="default" w:ascii="Times New Roman" w:hAnsi="Times New Roman" w:cs="Times New Roman" w:eastAsiaTheme="minorEastAsia"/>
          <w:bCs/>
          <w:kern w:val="0"/>
          <w:sz w:val="28"/>
          <w:szCs w:val="28"/>
        </w:rPr>
      </w:pPr>
      <w:r>
        <w:rPr>
          <w:rFonts w:hint="default" w:ascii="Times New Roman" w:hAnsi="Times New Roman" w:cs="Times New Roman" w:eastAsiaTheme="minorEastAsia"/>
          <w:bCs/>
          <w:kern w:val="0"/>
          <w:sz w:val="28"/>
          <w:szCs w:val="28"/>
        </w:rPr>
        <w:t>项目的性质、规模、地点或者采用的生产工艺没有发生变化。项目环保设施没有发生变化，没有重大变化。</w:t>
      </w:r>
    </w:p>
    <w:p>
      <w:pPr>
        <w:widowControl/>
        <w:spacing w:line="360" w:lineRule="auto"/>
        <w:jc w:val="left"/>
        <w:rPr>
          <w:rFonts w:hint="default" w:ascii="Times New Roman" w:hAnsi="Times New Roman" w:cs="Times New Roman" w:eastAsiaTheme="minorEastAsia"/>
          <w:bCs/>
          <w:kern w:val="0"/>
          <w:sz w:val="28"/>
          <w:szCs w:val="28"/>
        </w:rPr>
      </w:pPr>
      <w:r>
        <w:rPr>
          <w:rFonts w:hint="default" w:ascii="Times New Roman" w:hAnsi="Times New Roman" w:cs="Times New Roman" w:eastAsiaTheme="minorEastAsia"/>
          <w:b/>
          <w:kern w:val="0"/>
          <w:sz w:val="28"/>
          <w:szCs w:val="28"/>
        </w:rPr>
        <w:t xml:space="preserve">    </w:t>
      </w:r>
      <w:r>
        <w:rPr>
          <w:rFonts w:hint="default" w:ascii="Times New Roman" w:hAnsi="Times New Roman" w:cs="Times New Roman" w:eastAsiaTheme="minorEastAsia"/>
          <w:bCs/>
          <w:kern w:val="0"/>
          <w:sz w:val="28"/>
          <w:szCs w:val="28"/>
        </w:rPr>
        <w:t>4、环保机构、规章制度、监测化验机构设立情况：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cs="Times New Roman" w:eastAsiaTheme="minorEastAsia"/>
          <w:bCs/>
          <w:kern w:val="0"/>
          <w:sz w:val="28"/>
          <w:szCs w:val="28"/>
          <w:lang w:eastAsia="zh-CN"/>
        </w:rPr>
      </w:pPr>
      <w:bookmarkStart w:id="138" w:name="_Toc11571"/>
      <w:bookmarkStart w:id="139" w:name="_Toc30440"/>
      <w:bookmarkStart w:id="140" w:name="_Toc109"/>
      <w:r>
        <w:rPr>
          <w:rFonts w:hint="default" w:ascii="Times New Roman" w:hAnsi="Times New Roman" w:cs="Times New Roman" w:eastAsiaTheme="minorEastAsia"/>
          <w:bCs/>
          <w:kern w:val="0"/>
          <w:sz w:val="28"/>
          <w:szCs w:val="28"/>
          <w:lang w:eastAsia="zh-CN"/>
        </w:rPr>
        <w:t>未设环保机构、环保规章制度，建议完善。</w:t>
      </w:r>
    </w:p>
    <w:bookmarkEnd w:id="138"/>
    <w:bookmarkEnd w:id="139"/>
    <w:bookmarkEnd w:id="140"/>
    <w:p>
      <w:pPr>
        <w:spacing w:line="360" w:lineRule="auto"/>
        <w:ind w:firstLine="560"/>
        <w:rPr>
          <w:rFonts w:hint="default" w:ascii="Times New Roman" w:hAnsi="Times New Roman" w:cs="Times New Roman" w:eastAsiaTheme="minorEastAsia"/>
          <w:bCs/>
          <w:kern w:val="0"/>
          <w:sz w:val="28"/>
          <w:szCs w:val="28"/>
        </w:rPr>
      </w:pPr>
      <w:r>
        <w:rPr>
          <w:rFonts w:hint="default" w:ascii="Times New Roman" w:hAnsi="Times New Roman" w:cs="Times New Roman" w:eastAsiaTheme="minorEastAsia"/>
          <w:bCs/>
          <w:kern w:val="0"/>
          <w:sz w:val="28"/>
          <w:szCs w:val="28"/>
        </w:rPr>
        <w:t>5、建设项目执行环境影响评价和“三同时”制度情况</w:t>
      </w:r>
    </w:p>
    <w:p>
      <w:pPr>
        <w:spacing w:line="360" w:lineRule="auto"/>
        <w:ind w:firstLine="560"/>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color w:val="000000" w:themeColor="text1"/>
          <w:kern w:val="0"/>
          <w:sz w:val="28"/>
          <w:szCs w:val="28"/>
          <w:lang w:eastAsia="zh-CN"/>
          <w14:textFill>
            <w14:solidFill>
              <w14:schemeClr w14:val="tx1"/>
            </w14:solidFill>
          </w14:textFill>
        </w:rPr>
        <w:t>中国石化销售有限公司贵州黔西南</w:t>
      </w:r>
      <w:r>
        <w:rPr>
          <w:rFonts w:hint="eastAsia" w:ascii="Times New Roman" w:hAnsi="Times New Roman" w:cs="Times New Roman" w:eastAsiaTheme="minorEastAsia"/>
          <w:color w:val="000000" w:themeColor="text1"/>
          <w:kern w:val="0"/>
          <w:sz w:val="28"/>
          <w:szCs w:val="28"/>
          <w:lang w:eastAsia="zh-CN"/>
          <w14:textFill>
            <w14:solidFill>
              <w14:schemeClr w14:val="tx1"/>
            </w14:solidFill>
          </w14:textFill>
        </w:rPr>
        <w:t>贞丰城关加油站</w:t>
      </w:r>
      <w:r>
        <w:rPr>
          <w:rFonts w:hint="default" w:ascii="Times New Roman" w:hAnsi="Times New Roman" w:cs="Times New Roman" w:eastAsiaTheme="minorEastAsia"/>
          <w:color w:val="000000" w:themeColor="text1"/>
          <w:kern w:val="0"/>
          <w:sz w:val="28"/>
          <w:szCs w:val="28"/>
          <w:lang w:eastAsia="zh-CN"/>
          <w14:textFill>
            <w14:solidFill>
              <w14:schemeClr w14:val="tx1"/>
            </w14:solidFill>
          </w14:textFill>
        </w:rPr>
        <w:t>项目</w:t>
      </w:r>
      <w:r>
        <w:rPr>
          <w:rFonts w:hint="default" w:ascii="Times New Roman" w:hAnsi="Times New Roman" w:cs="Times New Roman" w:eastAsiaTheme="minorEastAsia"/>
          <w:color w:val="000000" w:themeColor="text1"/>
          <w:kern w:val="0"/>
          <w:sz w:val="28"/>
          <w:szCs w:val="28"/>
          <w14:textFill>
            <w14:solidFill>
              <w14:schemeClr w14:val="tx1"/>
            </w14:solidFill>
          </w14:textFill>
        </w:rPr>
        <w:t>，基本执</w:t>
      </w:r>
      <w:r>
        <w:rPr>
          <w:rFonts w:hint="default" w:ascii="Times New Roman" w:hAnsi="Times New Roman" w:cs="Times New Roman" w:eastAsiaTheme="minorEastAsia"/>
          <w:kern w:val="0"/>
          <w:sz w:val="28"/>
          <w:szCs w:val="28"/>
        </w:rPr>
        <w:t>行了国家有关建设项目环保审批手续及“三同时”制度。工程立项、环评报批手续齐全，环保设施与主体工程同时设计、同时施工、同时投入使用。</w:t>
      </w:r>
      <w:bookmarkStart w:id="141" w:name="_Toc163970215"/>
      <w:bookmarkStart w:id="142" w:name="_Toc183757696"/>
      <w:bookmarkStart w:id="143" w:name="_Toc149209752"/>
    </w:p>
    <w:bookmarkEnd w:id="141"/>
    <w:bookmarkEnd w:id="142"/>
    <w:bookmarkEnd w:id="143"/>
    <w:p>
      <w:pPr>
        <w:widowControl/>
        <w:spacing w:line="360" w:lineRule="auto"/>
        <w:jc w:val="left"/>
        <w:rPr>
          <w:rFonts w:hint="default" w:ascii="Times New Roman" w:hAnsi="Times New Roman" w:cs="Times New Roman" w:eastAsiaTheme="minorEastAsia"/>
          <w:kern w:val="0"/>
          <w:sz w:val="28"/>
          <w:szCs w:val="28"/>
        </w:rPr>
      </w:pPr>
      <w:bookmarkStart w:id="144" w:name="_Toc183757697"/>
      <w:bookmarkStart w:id="145" w:name="_Toc180168342"/>
      <w:r>
        <w:rPr>
          <w:rFonts w:hint="default" w:ascii="Times New Roman" w:hAnsi="Times New Roman" w:cs="Times New Roman" w:eastAsiaTheme="minorEastAsia"/>
          <w:kern w:val="0"/>
          <w:sz w:val="28"/>
          <w:szCs w:val="28"/>
        </w:rPr>
        <w:t xml:space="preserve">  </w:t>
      </w:r>
      <w:r>
        <w:rPr>
          <w:rFonts w:hint="default" w:ascii="Times New Roman" w:hAnsi="Times New Roman" w:cs="Times New Roman" w:eastAsiaTheme="minorEastAsia"/>
          <w:b/>
          <w:bCs/>
          <w:kern w:val="0"/>
          <w:sz w:val="28"/>
          <w:szCs w:val="28"/>
        </w:rPr>
        <w:t xml:space="preserve"> </w:t>
      </w:r>
      <w:bookmarkEnd w:id="144"/>
      <w:bookmarkEnd w:id="145"/>
      <w:r>
        <w:rPr>
          <w:rFonts w:hint="default" w:ascii="Times New Roman" w:hAnsi="Times New Roman" w:cs="Times New Roman" w:eastAsiaTheme="minorEastAsia"/>
          <w:b/>
          <w:bCs/>
          <w:kern w:val="0"/>
          <w:sz w:val="28"/>
          <w:szCs w:val="28"/>
        </w:rPr>
        <w:t xml:space="preserve"> </w:t>
      </w:r>
      <w:r>
        <w:rPr>
          <w:rFonts w:hint="default" w:ascii="Times New Roman" w:hAnsi="Times New Roman" w:cs="Times New Roman" w:eastAsiaTheme="minorEastAsia"/>
          <w:kern w:val="0"/>
          <w:sz w:val="28"/>
          <w:szCs w:val="28"/>
        </w:rPr>
        <w:t>6、是否有应急预案、各污染排放口及固废堆场建设应有标志、是否存在搬迁</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default" w:ascii="Times New Roman" w:hAnsi="Times New Roman" w:cs="Times New Roman" w:eastAsiaTheme="minorEastAsia"/>
          <w:b/>
          <w:bCs/>
          <w:kern w:val="0"/>
          <w:sz w:val="28"/>
          <w:szCs w:val="28"/>
        </w:rPr>
      </w:pPr>
      <w:r>
        <w:rPr>
          <w:rFonts w:hint="default" w:ascii="Times New Roman" w:hAnsi="Times New Roman" w:cs="Times New Roman" w:eastAsiaTheme="minorEastAsia"/>
          <w:kern w:val="0"/>
          <w:sz w:val="28"/>
          <w:szCs w:val="28"/>
        </w:rPr>
        <w:t>项目</w:t>
      </w:r>
      <w:r>
        <w:rPr>
          <w:rFonts w:hint="eastAsia" w:ascii="Times New Roman" w:hAnsi="Times New Roman" w:cs="Times New Roman" w:eastAsiaTheme="minorEastAsia"/>
          <w:kern w:val="0"/>
          <w:sz w:val="28"/>
          <w:szCs w:val="28"/>
          <w:lang w:eastAsia="zh-CN"/>
        </w:rPr>
        <w:t>有</w:t>
      </w:r>
      <w:r>
        <w:rPr>
          <w:rFonts w:hint="default" w:ascii="Times New Roman" w:hAnsi="Times New Roman" w:cs="Times New Roman" w:eastAsiaTheme="minorEastAsia"/>
          <w:kern w:val="0"/>
          <w:sz w:val="28"/>
          <w:szCs w:val="28"/>
        </w:rPr>
        <w:t>应急预案</w:t>
      </w:r>
      <w:r>
        <w:rPr>
          <w:rFonts w:hint="eastAsia" w:ascii="Times New Roman" w:hAnsi="Times New Roman" w:cs="Times New Roman" w:eastAsiaTheme="minorEastAsia"/>
          <w:kern w:val="0"/>
          <w:sz w:val="28"/>
          <w:szCs w:val="28"/>
          <w:lang w:eastAsia="zh-CN"/>
        </w:rPr>
        <w:t>，已备案，备案编号为</w:t>
      </w:r>
      <w:r>
        <w:rPr>
          <w:rFonts w:hint="eastAsia" w:ascii="Times New Roman" w:hAnsi="Times New Roman" w:cs="Times New Roman" w:eastAsiaTheme="minorEastAsia"/>
          <w:kern w:val="0"/>
          <w:sz w:val="28"/>
          <w:szCs w:val="28"/>
          <w:lang w:val="en-US" w:eastAsia="zh-CN"/>
        </w:rPr>
        <w:t>522325-2018-004L</w:t>
      </w:r>
      <w:r>
        <w:rPr>
          <w:rFonts w:hint="default" w:ascii="Times New Roman" w:hAnsi="Times New Roman" w:cs="Times New Roman" w:eastAsiaTheme="minorEastAsia"/>
          <w:kern w:val="0"/>
          <w:sz w:val="28"/>
          <w:szCs w:val="28"/>
          <w:lang w:eastAsia="zh-CN"/>
        </w:rPr>
        <w:t>。本项目</w:t>
      </w:r>
      <w:r>
        <w:rPr>
          <w:rFonts w:hint="default" w:ascii="Times New Roman" w:hAnsi="Times New Roman" w:cs="Times New Roman" w:eastAsiaTheme="minorEastAsia"/>
          <w:kern w:val="0"/>
          <w:sz w:val="28"/>
          <w:szCs w:val="28"/>
        </w:rPr>
        <w:t>不存在搬迁</w:t>
      </w:r>
      <w:r>
        <w:rPr>
          <w:rFonts w:hint="default" w:ascii="Times New Roman" w:hAnsi="Times New Roman" w:cs="Times New Roman" w:eastAsiaTheme="minorEastAsia"/>
          <w:kern w:val="0"/>
          <w:sz w:val="28"/>
          <w:szCs w:val="28"/>
          <w:lang w:eastAsia="zh-CN"/>
        </w:rPr>
        <w:t>。</w:t>
      </w:r>
    </w:p>
    <w:p>
      <w:pPr>
        <w:widowControl/>
        <w:spacing w:line="360" w:lineRule="auto"/>
        <w:jc w:val="left"/>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b/>
          <w:bCs/>
          <w:kern w:val="0"/>
          <w:sz w:val="28"/>
          <w:szCs w:val="28"/>
        </w:rPr>
        <w:t xml:space="preserve">    </w:t>
      </w:r>
      <w:r>
        <w:rPr>
          <w:rFonts w:hint="default" w:ascii="Times New Roman" w:hAnsi="Times New Roman" w:cs="Times New Roman" w:eastAsiaTheme="minorEastAsia"/>
          <w:kern w:val="0"/>
          <w:sz w:val="28"/>
          <w:szCs w:val="28"/>
        </w:rPr>
        <w:t>7、</w:t>
      </w:r>
      <w:r>
        <w:rPr>
          <w:rFonts w:hint="eastAsia" w:ascii="Times New Roman" w:hAnsi="Times New Roman" w:cs="Times New Roman" w:eastAsiaTheme="minorEastAsia"/>
          <w:kern w:val="0"/>
          <w:sz w:val="28"/>
          <w:szCs w:val="28"/>
          <w:lang w:eastAsia="zh-CN"/>
        </w:rPr>
        <w:t>环境影响报告表</w:t>
      </w:r>
      <w:r>
        <w:rPr>
          <w:rFonts w:hint="default" w:ascii="Times New Roman" w:hAnsi="Times New Roman" w:cs="Times New Roman" w:eastAsiaTheme="minorEastAsia"/>
          <w:kern w:val="0"/>
          <w:sz w:val="28"/>
          <w:szCs w:val="28"/>
        </w:rPr>
        <w:t>建议的落实情况</w:t>
      </w:r>
    </w:p>
    <w:p>
      <w:pPr>
        <w:numPr>
          <w:ilvl w:val="0"/>
          <w:numId w:val="0"/>
        </w:numPr>
        <w:spacing w:line="520" w:lineRule="exact"/>
        <w:ind w:firstLine="560"/>
        <w:jc w:val="both"/>
        <w:rPr>
          <w:rFonts w:hint="default" w:ascii="Times New Roman" w:hAnsi="Times New Roman" w:cs="Times New Roman" w:eastAsiaTheme="minorEastAsia"/>
          <w:kern w:val="0"/>
          <w:sz w:val="28"/>
          <w:szCs w:val="28"/>
        </w:rPr>
      </w:pPr>
      <w:r>
        <w:rPr>
          <w:rFonts w:hint="default" w:ascii="Times New Roman" w:hAnsi="Times New Roman" w:cs="Times New Roman" w:eastAsiaTheme="minorEastAsia"/>
          <w:kern w:val="0"/>
          <w:sz w:val="28"/>
          <w:szCs w:val="28"/>
        </w:rPr>
        <w:t>对落实</w:t>
      </w:r>
      <w:r>
        <w:rPr>
          <w:rFonts w:hint="eastAsia" w:ascii="Times New Roman" w:hAnsi="Times New Roman" w:cs="Times New Roman" w:eastAsiaTheme="minorEastAsia"/>
          <w:kern w:val="0"/>
          <w:sz w:val="28"/>
          <w:szCs w:val="28"/>
          <w:lang w:eastAsia="zh-CN"/>
        </w:rPr>
        <w:t>环境影响报告表</w:t>
      </w:r>
      <w:r>
        <w:rPr>
          <w:rFonts w:hint="default" w:ascii="Times New Roman" w:hAnsi="Times New Roman" w:cs="Times New Roman" w:eastAsiaTheme="minorEastAsia"/>
          <w:kern w:val="0"/>
          <w:sz w:val="28"/>
          <w:szCs w:val="28"/>
        </w:rPr>
        <w:t>情况进行了全面调查，</w:t>
      </w:r>
      <w:r>
        <w:rPr>
          <w:rFonts w:hint="default" w:ascii="Times New Roman" w:hAnsi="Times New Roman" w:cs="Times New Roman" w:eastAsiaTheme="minorEastAsia"/>
          <w:kern w:val="0"/>
          <w:sz w:val="28"/>
          <w:szCs w:val="28"/>
          <w:lang w:eastAsia="zh-CN"/>
        </w:rPr>
        <w:t>结果见表</w:t>
      </w:r>
      <w:r>
        <w:rPr>
          <w:rFonts w:hint="eastAsia" w:ascii="Times New Roman" w:hAnsi="Times New Roman" w:cs="Times New Roman" w:eastAsiaTheme="minorEastAsia"/>
          <w:kern w:val="0"/>
          <w:sz w:val="28"/>
          <w:szCs w:val="28"/>
          <w:lang w:val="en-US" w:eastAsia="zh-CN"/>
        </w:rPr>
        <w:t>9</w:t>
      </w:r>
      <w:r>
        <w:rPr>
          <w:rFonts w:hint="default" w:ascii="Times New Roman" w:hAnsi="Times New Roman" w:cs="Times New Roman" w:eastAsiaTheme="minorEastAsia"/>
          <w:kern w:val="0"/>
          <w:sz w:val="28"/>
          <w:szCs w:val="28"/>
          <w:lang w:val="en-US" w:eastAsia="zh-CN"/>
        </w:rPr>
        <w:t>。</w:t>
      </w:r>
    </w:p>
    <w:p>
      <w:pPr>
        <w:numPr>
          <w:ilvl w:val="0"/>
          <w:numId w:val="0"/>
        </w:numPr>
        <w:spacing w:line="520" w:lineRule="exact"/>
        <w:ind w:firstLine="560"/>
        <w:jc w:val="center"/>
        <w:rPr>
          <w:rFonts w:hint="default" w:ascii="Times New Roman" w:hAnsi="Times New Roman" w:cs="Times New Roman" w:eastAsiaTheme="minorEastAsia"/>
          <w:b/>
          <w:bCs/>
          <w:sz w:val="28"/>
          <w:szCs w:val="28"/>
          <w:lang w:eastAsia="zh-CN"/>
        </w:rPr>
        <w:sectPr>
          <w:headerReference r:id="rId7" w:type="default"/>
          <w:pgSz w:w="11850" w:h="16783"/>
          <w:pgMar w:top="1417" w:right="1418" w:bottom="1417" w:left="1418" w:header="851" w:footer="992" w:gutter="0"/>
          <w:pgNumType w:fmt="decimal" w:start="1"/>
          <w:cols w:space="0" w:num="1"/>
          <w:rtlGutter w:val="0"/>
          <w:docGrid w:type="lines" w:linePitch="312" w:charSpace="0"/>
        </w:sectPr>
      </w:pPr>
    </w:p>
    <w:p>
      <w:pPr>
        <w:numPr>
          <w:ilvl w:val="0"/>
          <w:numId w:val="0"/>
        </w:numPr>
        <w:spacing w:line="520" w:lineRule="exact"/>
        <w:ind w:firstLine="560"/>
        <w:jc w:val="center"/>
        <w:rPr>
          <w:rFonts w:hint="default" w:ascii="Times New Roman" w:hAnsi="Times New Roman" w:eastAsia="宋体" w:cs="Times New Roman"/>
          <w:sz w:val="28"/>
          <w:szCs w:val="28"/>
          <w:lang w:val="en-US" w:eastAsia="zh-CN"/>
        </w:rPr>
      </w:pPr>
      <w:r>
        <w:rPr>
          <w:rFonts w:hint="default" w:ascii="Times New Roman" w:hAnsi="Times New Roman" w:cs="Times New Roman" w:eastAsiaTheme="minorEastAsia"/>
          <w:b/>
          <w:bCs/>
          <w:sz w:val="28"/>
          <w:szCs w:val="28"/>
          <w:lang w:eastAsia="zh-CN"/>
        </w:rPr>
        <w:t>表</w:t>
      </w:r>
      <w:r>
        <w:rPr>
          <w:rFonts w:hint="eastAsia" w:ascii="Times New Roman" w:hAnsi="Times New Roman" w:cs="Times New Roman" w:eastAsiaTheme="minorEastAsia"/>
          <w:b/>
          <w:bCs/>
          <w:sz w:val="28"/>
          <w:szCs w:val="28"/>
          <w:lang w:val="en-US" w:eastAsia="zh-CN"/>
        </w:rPr>
        <w:t>9</w:t>
      </w:r>
      <w:r>
        <w:rPr>
          <w:rFonts w:hint="default" w:ascii="Times New Roman" w:hAnsi="Times New Roman" w:cs="Times New Roman" w:eastAsiaTheme="minorEastAsia"/>
          <w:b/>
          <w:bCs/>
          <w:sz w:val="28"/>
          <w:szCs w:val="28"/>
          <w:lang w:eastAsia="zh-CN"/>
        </w:rPr>
        <w:t xml:space="preserve"> </w:t>
      </w:r>
      <w:r>
        <w:rPr>
          <w:rFonts w:hint="eastAsia" w:ascii="Times New Roman" w:hAnsi="Times New Roman" w:cs="Times New Roman" w:eastAsiaTheme="minorEastAsia"/>
          <w:b/>
          <w:bCs/>
          <w:sz w:val="28"/>
          <w:szCs w:val="28"/>
          <w:lang w:eastAsia="zh-CN"/>
        </w:rPr>
        <w:t>环境影响报告表及</w:t>
      </w:r>
      <w:r>
        <w:rPr>
          <w:rFonts w:hint="default" w:ascii="Times New Roman" w:hAnsi="Times New Roman" w:cs="Times New Roman" w:eastAsiaTheme="minorEastAsia"/>
          <w:b/>
          <w:bCs/>
          <w:sz w:val="28"/>
          <w:szCs w:val="28"/>
          <w:lang w:eastAsia="zh-CN"/>
        </w:rPr>
        <w:t>落实情况</w:t>
      </w:r>
    </w:p>
    <w:tbl>
      <w:tblPr>
        <w:tblStyle w:val="16"/>
        <w:tblW w:w="8692" w:type="dxa"/>
        <w:jc w:val="center"/>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359"/>
        <w:gridCol w:w="2337"/>
        <w:gridCol w:w="2263"/>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056" w:type="dxa"/>
            <w:vAlign w:val="center"/>
          </w:tcPr>
          <w:p>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项 目</w:t>
            </w:r>
          </w:p>
        </w:tc>
        <w:tc>
          <w:tcPr>
            <w:tcW w:w="1359" w:type="dxa"/>
            <w:vAlign w:val="center"/>
          </w:tcPr>
          <w:p>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污染物</w:t>
            </w:r>
          </w:p>
        </w:tc>
        <w:tc>
          <w:tcPr>
            <w:tcW w:w="2337" w:type="dxa"/>
            <w:vAlign w:val="center"/>
          </w:tcPr>
          <w:p>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措   施</w:t>
            </w:r>
          </w:p>
        </w:tc>
        <w:tc>
          <w:tcPr>
            <w:tcW w:w="2263" w:type="dxa"/>
            <w:vAlign w:val="center"/>
          </w:tcPr>
          <w:p>
            <w:pPr>
              <w:widowControl/>
              <w:spacing w:line="240" w:lineRule="auto"/>
              <w:jc w:val="center"/>
              <w:rPr>
                <w:rFonts w:hint="default" w:ascii="Times New Roman" w:hAnsi="Times New Roman"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治理效果</w:t>
            </w:r>
          </w:p>
        </w:tc>
        <w:tc>
          <w:tcPr>
            <w:tcW w:w="1677" w:type="dxa"/>
            <w:vAlign w:val="center"/>
          </w:tcPr>
          <w:p>
            <w:pPr>
              <w:widowControl/>
              <w:spacing w:line="240" w:lineRule="auto"/>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jc w:val="center"/>
        </w:trPr>
        <w:tc>
          <w:tcPr>
            <w:tcW w:w="1056" w:type="dxa"/>
            <w:vMerge w:val="restart"/>
            <w:vAlign w:val="center"/>
          </w:tcPr>
          <w:p>
            <w:pPr>
              <w:widowControl/>
              <w:spacing w:line="240" w:lineRule="auto"/>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废气</w:t>
            </w:r>
          </w:p>
        </w:tc>
        <w:tc>
          <w:tcPr>
            <w:tcW w:w="1359" w:type="dxa"/>
            <w:vAlign w:val="center"/>
          </w:tcPr>
          <w:p>
            <w:pPr>
              <w:widowControl/>
              <w:spacing w:line="240" w:lineRule="auto"/>
              <w:jc w:val="center"/>
              <w:rPr>
                <w:rFonts w:hint="eastAsia" w:ascii="Times New Roman" w:hAnsi="Times New Roman"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汽车尾气、道路扬尘</w:t>
            </w:r>
          </w:p>
        </w:tc>
        <w:tc>
          <w:tcPr>
            <w:tcW w:w="2337" w:type="dxa"/>
            <w:vAlign w:val="center"/>
          </w:tcPr>
          <w:p>
            <w:pPr>
              <w:widowControl/>
              <w:spacing w:line="240" w:lineRule="auto"/>
              <w:jc w:val="center"/>
              <w:rPr>
                <w:rFonts w:hint="eastAsia" w:ascii="Times New Roman" w:hAnsi="Times New Roman"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设置减速行驶标识牌</w:t>
            </w:r>
          </w:p>
        </w:tc>
        <w:tc>
          <w:tcPr>
            <w:tcW w:w="2263" w:type="dxa"/>
            <w:vAlign w:val="center"/>
          </w:tcPr>
          <w:p>
            <w:pPr>
              <w:widowControl/>
              <w:spacing w:line="240" w:lineRule="auto"/>
              <w:jc w:val="center"/>
              <w:rPr>
                <w:rFonts w:hint="default" w:ascii="Times New Roman" w:hAnsi="Times New Roman"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减少尾气、扬尘的二次污染</w:t>
            </w:r>
          </w:p>
        </w:tc>
        <w:tc>
          <w:tcPr>
            <w:tcW w:w="1677" w:type="dxa"/>
            <w:vAlign w:val="center"/>
          </w:tcPr>
          <w:p>
            <w:pPr>
              <w:widowControl/>
              <w:spacing w:line="240" w:lineRule="auto"/>
              <w:jc w:val="center"/>
              <w:rPr>
                <w:rFonts w:hint="eastAsia"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已设置标识牌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4" w:hRule="atLeast"/>
          <w:jc w:val="center"/>
        </w:trPr>
        <w:tc>
          <w:tcPr>
            <w:tcW w:w="1056" w:type="dxa"/>
            <w:vMerge w:val="continue"/>
            <w:vAlign w:val="center"/>
          </w:tcPr>
          <w:p>
            <w:pPr>
              <w:widowControl/>
              <w:spacing w:line="240" w:lineRule="auto"/>
              <w:jc w:val="center"/>
              <w:rPr>
                <w:rFonts w:hint="default" w:ascii="Times New Roman" w:hAnsi="Times New Roman" w:cs="Times New Roman" w:eastAsiaTheme="minorEastAsia"/>
                <w:color w:val="auto"/>
                <w:kern w:val="0"/>
                <w:sz w:val="21"/>
                <w:szCs w:val="21"/>
                <w:lang w:eastAsia="zh-CN"/>
              </w:rPr>
            </w:pPr>
          </w:p>
        </w:tc>
        <w:tc>
          <w:tcPr>
            <w:tcW w:w="1359" w:type="dxa"/>
            <w:vAlign w:val="center"/>
          </w:tcPr>
          <w:p>
            <w:pPr>
              <w:widowControl/>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2337" w:type="dxa"/>
            <w:vAlign w:val="center"/>
          </w:tcPr>
          <w:p>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加强日常管理和设备维修，及时检修、减少和防止跑冒滴漏和事故性排放、</w:t>
            </w:r>
            <w:r>
              <w:rPr>
                <w:rFonts w:hint="default" w:ascii="Times New Roman" w:hAnsi="Times New Roman" w:cs="Times New Roman" w:eastAsiaTheme="minorEastAsia"/>
                <w:color w:val="auto"/>
                <w:sz w:val="21"/>
                <w:szCs w:val="21"/>
                <w:lang w:eastAsia="zh-CN"/>
              </w:rPr>
              <w:t>安装</w:t>
            </w:r>
            <w:r>
              <w:rPr>
                <w:rFonts w:hint="default" w:ascii="Times New Roman" w:hAnsi="Times New Roman" w:cs="Times New Roman" w:eastAsiaTheme="minorEastAsia"/>
                <w:color w:val="auto"/>
                <w:sz w:val="21"/>
                <w:szCs w:val="21"/>
              </w:rPr>
              <w:t>油气回收装置</w:t>
            </w:r>
          </w:p>
        </w:tc>
        <w:tc>
          <w:tcPr>
            <w:tcW w:w="2263" w:type="dxa"/>
            <w:vAlign w:val="center"/>
          </w:tcPr>
          <w:p>
            <w:pPr>
              <w:widowControl/>
              <w:spacing w:line="240" w:lineRule="auto"/>
              <w:jc w:val="center"/>
              <w:rPr>
                <w:rFonts w:hint="default" w:ascii="Times New Roman" w:hAnsi="Times New Roman" w:cs="Times New Roman" w:eastAsiaTheme="minorEastAsia"/>
                <w:color w:val="auto"/>
                <w:kern w:val="0"/>
                <w:sz w:val="21"/>
                <w:szCs w:val="21"/>
                <w:lang w:eastAsia="zh-CN"/>
              </w:rPr>
            </w:pPr>
            <w:r>
              <w:rPr>
                <w:rFonts w:hint="eastAsia" w:cs="Times New Roman" w:eastAsiaTheme="minorEastAsia"/>
                <w:color w:val="auto"/>
                <w:sz w:val="21"/>
                <w:szCs w:val="21"/>
                <w:lang w:eastAsia="zh-CN"/>
              </w:rPr>
              <w:t>满足《大气污染物综合排放标准》（GB16297－1996）新污染源二级标准。</w:t>
            </w:r>
          </w:p>
        </w:tc>
        <w:tc>
          <w:tcPr>
            <w:tcW w:w="1677" w:type="dxa"/>
            <w:vAlign w:val="center"/>
          </w:tcPr>
          <w:p>
            <w:pPr>
              <w:spacing w:line="0" w:lineRule="atLeast"/>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已安装油气回收装置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4" w:hRule="atLeast"/>
          <w:jc w:val="center"/>
        </w:trPr>
        <w:tc>
          <w:tcPr>
            <w:tcW w:w="1056" w:type="dxa"/>
            <w:vMerge w:val="continue"/>
            <w:vAlign w:val="center"/>
          </w:tcPr>
          <w:p>
            <w:pPr>
              <w:widowControl/>
              <w:spacing w:line="240" w:lineRule="auto"/>
              <w:jc w:val="center"/>
              <w:rPr>
                <w:rFonts w:hint="default" w:ascii="Times New Roman" w:hAnsi="Times New Roman" w:cs="Times New Roman" w:eastAsiaTheme="minorEastAsia"/>
                <w:color w:val="auto"/>
                <w:kern w:val="0"/>
                <w:sz w:val="21"/>
                <w:szCs w:val="21"/>
                <w:lang w:eastAsia="zh-CN"/>
              </w:rPr>
            </w:pPr>
          </w:p>
        </w:tc>
        <w:tc>
          <w:tcPr>
            <w:tcW w:w="1359" w:type="dxa"/>
            <w:vAlign w:val="center"/>
          </w:tcPr>
          <w:p>
            <w:pPr>
              <w:widowControl/>
              <w:spacing w:line="240" w:lineRule="auto"/>
              <w:jc w:val="center"/>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油烟</w:t>
            </w:r>
          </w:p>
        </w:tc>
        <w:tc>
          <w:tcPr>
            <w:tcW w:w="2337" w:type="dxa"/>
            <w:vAlign w:val="center"/>
          </w:tcPr>
          <w:p>
            <w:pPr>
              <w:spacing w:line="240" w:lineRule="auto"/>
              <w:jc w:val="center"/>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安装一般的家庭油烟机，油烟通过排气筒引至室外向绿化带背离居民区排放，经周边空旷地带作用及绿化带净化作用</w:t>
            </w:r>
          </w:p>
        </w:tc>
        <w:tc>
          <w:tcPr>
            <w:tcW w:w="2263" w:type="dxa"/>
            <w:vAlign w:val="bottom"/>
          </w:tcPr>
          <w:p>
            <w:pPr>
              <w:spacing w:line="0" w:lineRule="atLeast"/>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油烟浓度达到《饮食业油烟排放标准》（GB18483-2001）中最高允许排放浓度2.0mg/m</w:t>
            </w:r>
            <w:r>
              <w:rPr>
                <w:rFonts w:hint="eastAsia" w:cs="Times New Roman" w:eastAsiaTheme="minorEastAsia"/>
                <w:color w:val="auto"/>
                <w:sz w:val="21"/>
                <w:szCs w:val="21"/>
                <w:vertAlign w:val="superscript"/>
                <w:lang w:eastAsia="zh-CN"/>
              </w:rPr>
              <w:t>3</w:t>
            </w:r>
            <w:r>
              <w:rPr>
                <w:rFonts w:hint="eastAsia" w:cs="Times New Roman" w:eastAsiaTheme="minorEastAsia"/>
                <w:color w:val="auto"/>
                <w:sz w:val="21"/>
                <w:szCs w:val="21"/>
                <w:lang w:eastAsia="zh-CN"/>
              </w:rPr>
              <w:t xml:space="preserve"> 的要求</w:t>
            </w:r>
          </w:p>
        </w:tc>
        <w:tc>
          <w:tcPr>
            <w:tcW w:w="1677" w:type="dxa"/>
            <w:vAlign w:val="center"/>
          </w:tcPr>
          <w:p>
            <w:pPr>
              <w:spacing w:line="0" w:lineRule="atLeast"/>
              <w:jc w:val="center"/>
              <w:rPr>
                <w:rFonts w:hint="eastAsia"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站内员工人数少，每天只有</w:t>
            </w:r>
            <w:r>
              <w:rPr>
                <w:rFonts w:hint="default" w:ascii="Times New Roman" w:hAnsi="Times New Roman" w:cs="Times New Roman" w:eastAsiaTheme="minorEastAsia"/>
                <w:color w:val="auto"/>
                <w:sz w:val="21"/>
                <w:szCs w:val="21"/>
                <w:lang w:val="en-US" w:eastAsia="zh-CN"/>
              </w:rPr>
              <w:t>4~5人在站内食宿，故未安装油烟机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1056" w:type="dxa"/>
            <w:vMerge w:val="restart"/>
            <w:vAlign w:val="center"/>
          </w:tcPr>
          <w:p>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废水治理</w:t>
            </w:r>
          </w:p>
        </w:tc>
        <w:tc>
          <w:tcPr>
            <w:tcW w:w="1359" w:type="dxa"/>
            <w:vAlign w:val="center"/>
          </w:tcPr>
          <w:p>
            <w:pPr>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生活污水</w:t>
            </w:r>
          </w:p>
        </w:tc>
        <w:tc>
          <w:tcPr>
            <w:tcW w:w="2337" w:type="dxa"/>
            <w:vAlign w:val="center"/>
          </w:tcPr>
          <w:p>
            <w:pPr>
              <w:spacing w:line="240" w:lineRule="auto"/>
              <w:jc w:val="center"/>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eastAsia="zh-CN"/>
              </w:rPr>
              <w:t>修建化粪池（</w:t>
            </w:r>
            <w:r>
              <w:rPr>
                <w:rFonts w:hint="eastAsia" w:cs="Times New Roman" w:eastAsiaTheme="minorEastAsia"/>
                <w:color w:val="auto"/>
                <w:sz w:val="21"/>
                <w:szCs w:val="21"/>
                <w:lang w:val="en-US" w:eastAsia="zh-CN"/>
              </w:rPr>
              <w:t>3m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eastAsia="zh-CN"/>
              </w:rPr>
              <w:t>）、围堰（约</w:t>
            </w:r>
            <w:r>
              <w:rPr>
                <w:rFonts w:hint="eastAsia" w:cs="Times New Roman" w:eastAsiaTheme="minorEastAsia"/>
                <w:color w:val="auto"/>
                <w:sz w:val="21"/>
                <w:szCs w:val="21"/>
                <w:lang w:val="en-US" w:eastAsia="zh-CN"/>
              </w:rPr>
              <w:t>50m</w:t>
            </w:r>
            <w:r>
              <w:rPr>
                <w:rFonts w:hint="eastAsia" w:cs="Times New Roman" w:eastAsiaTheme="minorEastAsia"/>
                <w:color w:val="auto"/>
                <w:sz w:val="21"/>
                <w:szCs w:val="21"/>
                <w:lang w:eastAsia="zh-CN"/>
              </w:rPr>
              <w:t>）、集水沟</w:t>
            </w:r>
          </w:p>
        </w:tc>
        <w:tc>
          <w:tcPr>
            <w:tcW w:w="2263" w:type="dxa"/>
            <w:vMerge w:val="restart"/>
            <w:vAlign w:val="center"/>
          </w:tcPr>
          <w:p>
            <w:pPr>
              <w:spacing w:line="0" w:lineRule="atLeast"/>
              <w:jc w:val="center"/>
              <w:rPr>
                <w:rFonts w:hint="default" w:ascii="Times New Roman" w:hAnsi="Times New Roman" w:cs="Times New Roman" w:eastAsiaTheme="minorEastAsia"/>
                <w:color w:val="auto"/>
                <w:kern w:val="0"/>
                <w:sz w:val="21"/>
                <w:szCs w:val="21"/>
              </w:rPr>
            </w:pPr>
            <w:r>
              <w:rPr>
                <w:rFonts w:hint="eastAsia" w:cs="Times New Roman" w:eastAsiaTheme="minorEastAsia"/>
                <w:color w:val="auto"/>
                <w:sz w:val="21"/>
                <w:szCs w:val="21"/>
                <w:highlight w:val="none"/>
                <w:lang w:eastAsia="zh-CN"/>
              </w:rPr>
              <w:t>废水经预处理后达到《污水综合排放标准》（</w:t>
            </w:r>
            <w:r>
              <w:rPr>
                <w:rFonts w:hint="eastAsia" w:cs="Times New Roman" w:eastAsiaTheme="minorEastAsia"/>
                <w:color w:val="auto"/>
                <w:sz w:val="21"/>
                <w:szCs w:val="21"/>
                <w:highlight w:val="none"/>
                <w:lang w:val="en-US" w:eastAsia="zh-CN"/>
              </w:rPr>
              <w:t>GB14554-93</w:t>
            </w:r>
            <w:r>
              <w:rPr>
                <w:rFonts w:hint="eastAsia" w:cs="Times New Roman" w:eastAsiaTheme="minorEastAsia"/>
                <w:color w:val="auto"/>
                <w:sz w:val="21"/>
                <w:szCs w:val="21"/>
                <w:highlight w:val="none"/>
                <w:lang w:eastAsia="zh-CN"/>
              </w:rPr>
              <w:t>）中三级标准后，汇入市政污水管网，排入贞丰污水处理厂处理</w:t>
            </w:r>
          </w:p>
        </w:tc>
        <w:tc>
          <w:tcPr>
            <w:tcW w:w="1677" w:type="dxa"/>
            <w:vAlign w:val="center"/>
          </w:tcPr>
          <w:p>
            <w:pPr>
              <w:spacing w:line="0" w:lineRule="atLeast"/>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已建化粪池</w:t>
            </w:r>
            <w:r>
              <w:rPr>
                <w:rFonts w:hint="eastAsia" w:cs="Times New Roman" w:eastAsiaTheme="minorEastAsia"/>
                <w:color w:val="auto"/>
                <w:sz w:val="21"/>
                <w:szCs w:val="21"/>
                <w:highlight w:val="none"/>
                <w:lang w:eastAsia="zh-CN"/>
              </w:rPr>
              <w:t>、排水沟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jc w:val="center"/>
        </w:trPr>
        <w:tc>
          <w:tcPr>
            <w:tcW w:w="1056" w:type="dxa"/>
            <w:vMerge w:val="continue"/>
            <w:vAlign w:val="center"/>
          </w:tcPr>
          <w:p>
            <w:pPr>
              <w:widowControl/>
              <w:spacing w:line="240" w:lineRule="auto"/>
              <w:jc w:val="center"/>
              <w:rPr>
                <w:rFonts w:hint="default" w:ascii="Times New Roman" w:hAnsi="Times New Roman" w:cs="Times New Roman" w:eastAsiaTheme="minorEastAsia"/>
                <w:color w:val="auto"/>
                <w:kern w:val="0"/>
                <w:sz w:val="21"/>
                <w:szCs w:val="21"/>
              </w:rPr>
            </w:pPr>
          </w:p>
        </w:tc>
        <w:tc>
          <w:tcPr>
            <w:tcW w:w="1359" w:type="dxa"/>
            <w:vAlign w:val="center"/>
          </w:tcPr>
          <w:p>
            <w:pPr>
              <w:spacing w:line="240" w:lineRule="auto"/>
              <w:jc w:val="center"/>
              <w:rPr>
                <w:rFonts w:hint="eastAsia"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冲洗地面</w:t>
            </w:r>
          </w:p>
          <w:p>
            <w:pPr>
              <w:spacing w:line="240" w:lineRule="auto"/>
              <w:jc w:val="center"/>
              <w:rPr>
                <w:rFonts w:hint="eastAsia" w:ascii="Times New Roman" w:hAnsi="Times New Roman"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废水</w:t>
            </w:r>
          </w:p>
        </w:tc>
        <w:tc>
          <w:tcPr>
            <w:tcW w:w="2337" w:type="dxa"/>
            <w:vAlign w:val="center"/>
          </w:tcPr>
          <w:p>
            <w:pPr>
              <w:spacing w:line="240" w:lineRule="auto"/>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修建油水分离池（</w:t>
            </w:r>
            <w:r>
              <w:rPr>
                <w:rFonts w:hint="eastAsia" w:cs="Times New Roman" w:eastAsiaTheme="minorEastAsia"/>
                <w:color w:val="auto"/>
                <w:sz w:val="21"/>
                <w:szCs w:val="21"/>
                <w:lang w:val="en-US" w:eastAsia="zh-CN"/>
              </w:rPr>
              <w:t>2m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eastAsia="zh-CN"/>
              </w:rPr>
              <w:t>）</w:t>
            </w:r>
          </w:p>
        </w:tc>
        <w:tc>
          <w:tcPr>
            <w:tcW w:w="2263" w:type="dxa"/>
            <w:vMerge w:val="continue"/>
            <w:vAlign w:val="center"/>
          </w:tcPr>
          <w:p>
            <w:pPr>
              <w:spacing w:line="240" w:lineRule="auto"/>
              <w:jc w:val="center"/>
              <w:rPr>
                <w:rFonts w:hint="default" w:ascii="Times New Roman" w:hAnsi="Times New Roman" w:cs="Times New Roman" w:eastAsiaTheme="minorEastAsia"/>
                <w:color w:val="auto"/>
                <w:sz w:val="21"/>
                <w:szCs w:val="21"/>
                <w:lang w:eastAsia="zh-CN"/>
              </w:rPr>
            </w:pPr>
          </w:p>
        </w:tc>
        <w:tc>
          <w:tcPr>
            <w:tcW w:w="1677" w:type="dxa"/>
            <w:vAlign w:val="center"/>
          </w:tcPr>
          <w:p>
            <w:pPr>
              <w:spacing w:line="240" w:lineRule="auto"/>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已建油水分离池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1056" w:type="dxa"/>
            <w:vMerge w:val="restart"/>
            <w:vAlign w:val="center"/>
          </w:tcPr>
          <w:p>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噪声治理</w:t>
            </w:r>
          </w:p>
        </w:tc>
        <w:tc>
          <w:tcPr>
            <w:tcW w:w="1359" w:type="dxa"/>
            <w:vAlign w:val="center"/>
          </w:tcPr>
          <w:p>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机械噪声</w:t>
            </w:r>
          </w:p>
        </w:tc>
        <w:tc>
          <w:tcPr>
            <w:tcW w:w="2337" w:type="dxa"/>
            <w:vAlign w:val="center"/>
          </w:tcPr>
          <w:p>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选用低噪型设备，</w:t>
            </w:r>
            <w:r>
              <w:rPr>
                <w:rFonts w:hint="default" w:ascii="Times New Roman" w:hAnsi="Times New Roman" w:cs="Times New Roman" w:eastAsiaTheme="minorEastAsia"/>
                <w:color w:val="auto"/>
                <w:sz w:val="21"/>
                <w:szCs w:val="21"/>
              </w:rPr>
              <w:t>噪声设备应设隔振基础或铺垫减振垫</w:t>
            </w:r>
          </w:p>
        </w:tc>
        <w:tc>
          <w:tcPr>
            <w:tcW w:w="2263" w:type="dxa"/>
            <w:vMerge w:val="restart"/>
            <w:vAlign w:val="bottom"/>
          </w:tcPr>
          <w:p>
            <w:pPr>
              <w:widowControl/>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《工业企业厂界环境噪声排放标准》（GB12348-2008）</w:t>
            </w:r>
          </w:p>
          <w:p>
            <w:pPr>
              <w:spacing w:line="0" w:lineRule="atLeast"/>
              <w:jc w:val="center"/>
              <w:rPr>
                <w:rFonts w:hint="eastAsia"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sz w:val="21"/>
                <w:szCs w:val="21"/>
                <w:highlight w:val="none"/>
              </w:rPr>
              <w:t>2类</w:t>
            </w:r>
            <w:r>
              <w:rPr>
                <w:rFonts w:hint="default" w:ascii="Times New Roman" w:hAnsi="Times New Roman" w:cs="Times New Roman" w:eastAsiaTheme="minorEastAsia"/>
                <w:color w:val="auto"/>
                <w:sz w:val="21"/>
                <w:szCs w:val="21"/>
              </w:rPr>
              <w:t>标准</w:t>
            </w:r>
            <w:r>
              <w:rPr>
                <w:rFonts w:hint="default" w:ascii="Times New Roman" w:hAnsi="Times New Roman" w:cs="Times New Roman" w:eastAsiaTheme="minorEastAsia"/>
                <w:color w:val="auto"/>
                <w:kern w:val="0"/>
                <w:sz w:val="21"/>
                <w:szCs w:val="21"/>
              </w:rPr>
              <w:t>限值要求</w:t>
            </w:r>
          </w:p>
        </w:tc>
        <w:tc>
          <w:tcPr>
            <w:tcW w:w="1677" w:type="dxa"/>
            <w:vMerge w:val="restart"/>
            <w:vAlign w:val="center"/>
          </w:tcPr>
          <w:p>
            <w:pPr>
              <w:widowControl/>
              <w:spacing w:line="240" w:lineRule="auto"/>
              <w:jc w:val="center"/>
              <w:rPr>
                <w:rFonts w:hint="default" w:ascii="Times New Roman" w:hAnsi="Times New Roman" w:cs="Times New Roman" w:eastAsiaTheme="minorEastAsia"/>
                <w:color w:val="auto"/>
                <w:sz w:val="21"/>
                <w:szCs w:val="21"/>
                <w:highlight w:val="yellow"/>
              </w:rPr>
            </w:pPr>
            <w:r>
              <w:rPr>
                <w:rFonts w:hint="eastAsia" w:cs="Times New Roman" w:eastAsiaTheme="minorEastAsia"/>
                <w:color w:val="auto"/>
                <w:kern w:val="0"/>
                <w:sz w:val="21"/>
                <w:szCs w:val="21"/>
                <w:lang w:eastAsia="zh-CN"/>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056"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1"/>
                <w:szCs w:val="21"/>
              </w:rPr>
            </w:pPr>
          </w:p>
        </w:tc>
        <w:tc>
          <w:tcPr>
            <w:tcW w:w="1359" w:type="dxa"/>
            <w:vAlign w:val="center"/>
          </w:tcPr>
          <w:p>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车辆噪声</w:t>
            </w:r>
          </w:p>
        </w:tc>
        <w:tc>
          <w:tcPr>
            <w:tcW w:w="2337" w:type="dxa"/>
            <w:vAlign w:val="center"/>
          </w:tcPr>
          <w:p>
            <w:pPr>
              <w:widowControl/>
              <w:spacing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禁止鸣笛，减速行驶</w:t>
            </w:r>
          </w:p>
        </w:tc>
        <w:tc>
          <w:tcPr>
            <w:tcW w:w="2263"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1"/>
                <w:szCs w:val="21"/>
              </w:rPr>
            </w:pPr>
          </w:p>
        </w:tc>
        <w:tc>
          <w:tcPr>
            <w:tcW w:w="1677"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1056" w:type="dxa"/>
            <w:vMerge w:val="restart"/>
            <w:vAlign w:val="center"/>
          </w:tcPr>
          <w:p>
            <w:pPr>
              <w:widowControl/>
              <w:spacing w:line="240" w:lineRule="auto"/>
              <w:jc w:val="both"/>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kern w:val="0"/>
                <w:sz w:val="21"/>
                <w:szCs w:val="21"/>
                <w:vertAlign w:val="baseline"/>
                <w:lang w:val="en-US" w:eastAsia="zh-CN"/>
              </w:rPr>
              <w:t>固体废物处理</w:t>
            </w:r>
          </w:p>
        </w:tc>
        <w:tc>
          <w:tcPr>
            <w:tcW w:w="1359" w:type="dxa"/>
            <w:vAlign w:val="center"/>
          </w:tcPr>
          <w:p>
            <w:pPr>
              <w:numPr>
                <w:ilvl w:val="0"/>
                <w:numId w:val="0"/>
              </w:numPr>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kern w:val="0"/>
                <w:sz w:val="21"/>
                <w:szCs w:val="21"/>
                <w:vertAlign w:val="baseline"/>
                <w:lang w:val="en-US" w:eastAsia="zh-CN"/>
              </w:rPr>
              <w:t>生活垃圾</w:t>
            </w:r>
          </w:p>
        </w:tc>
        <w:tc>
          <w:tcPr>
            <w:tcW w:w="2337" w:type="dxa"/>
            <w:vAlign w:val="center"/>
          </w:tcPr>
          <w:p>
            <w:pPr>
              <w:numPr>
                <w:ilvl w:val="0"/>
                <w:numId w:val="0"/>
              </w:numPr>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kern w:val="0"/>
                <w:sz w:val="21"/>
                <w:szCs w:val="21"/>
                <w:vertAlign w:val="baseline"/>
                <w:lang w:val="en-US" w:eastAsia="zh-CN"/>
              </w:rPr>
              <w:t>集中收集后运至垃圾暂存点，由环卫统一处理</w:t>
            </w:r>
            <w:r>
              <w:rPr>
                <w:rFonts w:hint="eastAsia" w:cs="Times New Roman"/>
                <w:kern w:val="0"/>
                <w:sz w:val="21"/>
                <w:szCs w:val="21"/>
                <w:vertAlign w:val="baseline"/>
                <w:lang w:val="en-US" w:eastAsia="zh-CN"/>
              </w:rPr>
              <w:t>。</w:t>
            </w:r>
          </w:p>
        </w:tc>
        <w:tc>
          <w:tcPr>
            <w:tcW w:w="2263" w:type="dxa"/>
            <w:vMerge w:val="restart"/>
            <w:vAlign w:val="center"/>
          </w:tcPr>
          <w:p>
            <w:pPr>
              <w:widowControl/>
              <w:spacing w:line="240" w:lineRule="auto"/>
              <w:jc w:val="center"/>
              <w:rPr>
                <w:rFonts w:hint="eastAsia" w:ascii="Times New Roman" w:hAnsi="Times New Roman" w:cs="Times New Roman" w:eastAsiaTheme="minorEastAsia"/>
                <w:color w:val="auto"/>
                <w:kern w:val="0"/>
                <w:sz w:val="21"/>
                <w:szCs w:val="21"/>
                <w:lang w:eastAsia="zh-CN"/>
              </w:rPr>
            </w:pPr>
            <w:r>
              <w:rPr>
                <w:rFonts w:hint="eastAsia" w:cs="Times New Roman" w:eastAsiaTheme="minorEastAsia"/>
                <w:color w:val="auto"/>
                <w:kern w:val="0"/>
                <w:sz w:val="21"/>
                <w:szCs w:val="21"/>
                <w:lang w:eastAsia="zh-CN"/>
              </w:rPr>
              <w:t>减量化、无害化</w:t>
            </w:r>
          </w:p>
        </w:tc>
        <w:tc>
          <w:tcPr>
            <w:tcW w:w="1677" w:type="dxa"/>
            <w:vAlign w:val="center"/>
          </w:tcPr>
          <w:p>
            <w:pPr>
              <w:widowControl/>
              <w:spacing w:line="240" w:lineRule="auto"/>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1056"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1"/>
                <w:szCs w:val="21"/>
              </w:rPr>
            </w:pPr>
          </w:p>
        </w:tc>
        <w:tc>
          <w:tcPr>
            <w:tcW w:w="1359" w:type="dxa"/>
            <w:vAlign w:val="center"/>
          </w:tcPr>
          <w:p>
            <w:pPr>
              <w:numPr>
                <w:ilvl w:val="0"/>
                <w:numId w:val="0"/>
              </w:numPr>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kern w:val="0"/>
                <w:sz w:val="21"/>
                <w:szCs w:val="21"/>
                <w:vertAlign w:val="baseline"/>
                <w:lang w:val="en-US" w:eastAsia="zh-CN"/>
              </w:rPr>
              <w:t>化粪池污泥</w:t>
            </w:r>
          </w:p>
        </w:tc>
        <w:tc>
          <w:tcPr>
            <w:tcW w:w="2337" w:type="dxa"/>
            <w:vAlign w:val="center"/>
          </w:tcPr>
          <w:p>
            <w:pPr>
              <w:numPr>
                <w:ilvl w:val="0"/>
                <w:numId w:val="0"/>
              </w:numPr>
              <w:ind w:left="0" w:leftChars="0" w:firstLine="0" w:firstLineChars="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由附近农户定期清作农肥</w:t>
            </w:r>
          </w:p>
        </w:tc>
        <w:tc>
          <w:tcPr>
            <w:tcW w:w="2263" w:type="dxa"/>
            <w:vMerge w:val="continue"/>
            <w:tcBorders/>
            <w:vAlign w:val="center"/>
          </w:tcPr>
          <w:p>
            <w:pPr>
              <w:numPr>
                <w:ilvl w:val="0"/>
                <w:numId w:val="0"/>
              </w:numPr>
              <w:ind w:left="0" w:leftChars="0" w:firstLine="0" w:firstLineChars="0"/>
              <w:jc w:val="center"/>
              <w:rPr>
                <w:rFonts w:hint="default" w:ascii="Times New Roman" w:hAnsi="Times New Roman" w:eastAsia="宋体" w:cs="Times New Roman"/>
                <w:kern w:val="0"/>
                <w:sz w:val="21"/>
                <w:szCs w:val="21"/>
                <w:vertAlign w:val="baseline"/>
                <w:lang w:val="en-US" w:eastAsia="zh-CN"/>
              </w:rPr>
            </w:pPr>
          </w:p>
        </w:tc>
        <w:tc>
          <w:tcPr>
            <w:tcW w:w="1677" w:type="dxa"/>
            <w:vMerge w:val="restart"/>
            <w:vAlign w:val="center"/>
          </w:tcPr>
          <w:p>
            <w:pPr>
              <w:numPr>
                <w:ilvl w:val="0"/>
                <w:numId w:val="0"/>
              </w:numPr>
              <w:ind w:left="0" w:leftChars="0" w:firstLine="0" w:firstLineChars="0"/>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已</w:t>
            </w:r>
            <w:r>
              <w:rPr>
                <w:rFonts w:hint="default" w:ascii="Times New Roman" w:hAnsi="Times New Roman" w:eastAsia="宋体" w:cs="Times New Roman"/>
                <w:kern w:val="0"/>
                <w:sz w:val="21"/>
                <w:szCs w:val="21"/>
                <w:vertAlign w:val="baseline"/>
                <w:lang w:val="en-US" w:eastAsia="zh-CN"/>
              </w:rPr>
              <w:t>交由有危废处理资质的单位处理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8" w:hRule="atLeast"/>
          <w:jc w:val="center"/>
        </w:trPr>
        <w:tc>
          <w:tcPr>
            <w:tcW w:w="1056"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1"/>
                <w:szCs w:val="21"/>
              </w:rPr>
            </w:pPr>
          </w:p>
        </w:tc>
        <w:tc>
          <w:tcPr>
            <w:tcW w:w="1359" w:type="dxa"/>
            <w:vAlign w:val="center"/>
          </w:tcPr>
          <w:p>
            <w:pPr>
              <w:numPr>
                <w:ilvl w:val="0"/>
                <w:numId w:val="0"/>
              </w:numPr>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kern w:val="0"/>
                <w:sz w:val="21"/>
                <w:szCs w:val="21"/>
                <w:vertAlign w:val="baseline"/>
                <w:lang w:val="en-US" w:eastAsia="zh-CN"/>
              </w:rPr>
              <w:t>油水分离池污泥和上层浮油渣</w:t>
            </w:r>
          </w:p>
        </w:tc>
        <w:tc>
          <w:tcPr>
            <w:tcW w:w="2337" w:type="dxa"/>
            <w:vAlign w:val="center"/>
          </w:tcPr>
          <w:p>
            <w:pPr>
              <w:numPr>
                <w:ilvl w:val="0"/>
                <w:numId w:val="0"/>
              </w:numPr>
              <w:ind w:left="0" w:leftChars="0" w:firstLine="0" w:firstLineChars="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交由有危废处理资质的单位处理</w:t>
            </w:r>
          </w:p>
        </w:tc>
        <w:tc>
          <w:tcPr>
            <w:tcW w:w="2263" w:type="dxa"/>
            <w:vMerge w:val="continue"/>
            <w:tcBorders/>
            <w:vAlign w:val="center"/>
          </w:tcPr>
          <w:p>
            <w:pPr>
              <w:numPr>
                <w:ilvl w:val="0"/>
                <w:numId w:val="0"/>
              </w:numPr>
              <w:ind w:left="0" w:leftChars="0" w:firstLine="0" w:firstLineChars="0"/>
              <w:jc w:val="center"/>
              <w:rPr>
                <w:rFonts w:hint="default" w:ascii="Times New Roman" w:hAnsi="Times New Roman" w:eastAsia="宋体" w:cs="Times New Roman"/>
                <w:kern w:val="0"/>
                <w:sz w:val="21"/>
                <w:szCs w:val="21"/>
                <w:vertAlign w:val="baseline"/>
                <w:lang w:val="en-US" w:eastAsia="zh-CN"/>
              </w:rPr>
            </w:pPr>
          </w:p>
        </w:tc>
        <w:tc>
          <w:tcPr>
            <w:tcW w:w="1677" w:type="dxa"/>
            <w:vMerge w:val="continue"/>
            <w:vAlign w:val="center"/>
          </w:tcPr>
          <w:p>
            <w:pPr>
              <w:numPr>
                <w:ilvl w:val="0"/>
                <w:numId w:val="0"/>
              </w:numPr>
              <w:ind w:left="0" w:leftChars="0" w:firstLine="0" w:firstLineChars="0"/>
              <w:jc w:val="center"/>
              <w:rPr>
                <w:rFonts w:hint="default" w:ascii="Times New Roman" w:hAnsi="Times New Roman" w:eastAsia="宋体" w:cs="Times New Roman"/>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1056"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1"/>
                <w:szCs w:val="21"/>
              </w:rPr>
            </w:pPr>
          </w:p>
        </w:tc>
        <w:tc>
          <w:tcPr>
            <w:tcW w:w="1359" w:type="dxa"/>
            <w:vAlign w:val="center"/>
          </w:tcPr>
          <w:p>
            <w:pPr>
              <w:numPr>
                <w:ilvl w:val="0"/>
                <w:numId w:val="0"/>
              </w:numPr>
              <w:ind w:left="0" w:lef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eastAsia="宋体" w:cs="Times New Roman"/>
                <w:kern w:val="0"/>
                <w:sz w:val="21"/>
                <w:szCs w:val="21"/>
                <w:vertAlign w:val="baseline"/>
                <w:lang w:val="en-US" w:eastAsia="zh-CN"/>
              </w:rPr>
              <w:t>油罐油泥、油渣</w:t>
            </w:r>
          </w:p>
        </w:tc>
        <w:tc>
          <w:tcPr>
            <w:tcW w:w="2337" w:type="dxa"/>
            <w:vAlign w:val="center"/>
          </w:tcPr>
          <w:p>
            <w:pPr>
              <w:numPr>
                <w:ilvl w:val="0"/>
                <w:numId w:val="0"/>
              </w:numPr>
              <w:ind w:left="0" w:leftChars="0" w:firstLine="0" w:firstLineChars="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交由有危废处理资质的单位处理</w:t>
            </w:r>
          </w:p>
        </w:tc>
        <w:tc>
          <w:tcPr>
            <w:tcW w:w="2263" w:type="dxa"/>
            <w:vMerge w:val="continue"/>
            <w:tcBorders/>
            <w:vAlign w:val="center"/>
          </w:tcPr>
          <w:p>
            <w:pPr>
              <w:numPr>
                <w:ilvl w:val="0"/>
                <w:numId w:val="0"/>
              </w:numPr>
              <w:ind w:left="0" w:leftChars="0" w:firstLine="0" w:firstLineChars="0"/>
              <w:jc w:val="center"/>
              <w:rPr>
                <w:rFonts w:hint="default" w:ascii="Times New Roman" w:hAnsi="Times New Roman" w:eastAsia="宋体" w:cs="Times New Roman"/>
                <w:kern w:val="0"/>
                <w:sz w:val="21"/>
                <w:szCs w:val="21"/>
                <w:vertAlign w:val="baseline"/>
                <w:lang w:val="en-US" w:eastAsia="zh-CN"/>
              </w:rPr>
            </w:pPr>
          </w:p>
        </w:tc>
        <w:tc>
          <w:tcPr>
            <w:tcW w:w="1677" w:type="dxa"/>
            <w:vMerge w:val="continue"/>
            <w:vAlign w:val="center"/>
          </w:tcPr>
          <w:p>
            <w:pPr>
              <w:widowControl/>
              <w:spacing w:line="240" w:lineRule="auto"/>
              <w:jc w:val="center"/>
              <w:rPr>
                <w:rFonts w:hint="default" w:ascii="Times New Roman" w:hAnsi="Times New Roman" w:eastAsia="宋体" w:cs="Times New Roman"/>
                <w:kern w:val="0"/>
                <w:sz w:val="21"/>
                <w:szCs w:val="21"/>
                <w:vertAlign w:val="baseline"/>
                <w:lang w:val="en-US" w:eastAsia="zh-CN"/>
              </w:rPr>
            </w:pPr>
          </w:p>
        </w:tc>
      </w:tr>
    </w:tbl>
    <w:p>
      <w:pPr>
        <w:numPr>
          <w:ilvl w:val="0"/>
          <w:numId w:val="0"/>
        </w:numPr>
        <w:spacing w:line="520" w:lineRule="exact"/>
        <w:ind w:firstLine="560"/>
        <w:jc w:val="center"/>
        <w:rPr>
          <w:rFonts w:hint="default" w:ascii="Times New Roman" w:hAnsi="Times New Roman" w:eastAsia="宋体" w:cs="Times New Roman"/>
          <w:sz w:val="28"/>
          <w:szCs w:val="28"/>
          <w:lang w:val="en-US" w:eastAsia="zh-CN"/>
        </w:rPr>
      </w:pPr>
    </w:p>
    <w:bookmarkEnd w:id="134"/>
    <w:bookmarkEnd w:id="135"/>
    <w:bookmarkEnd w:id="136"/>
    <w:bookmarkEnd w:id="137"/>
    <w:p>
      <w:pPr>
        <w:pStyle w:val="3"/>
        <w:rPr>
          <w:rFonts w:hint="default" w:ascii="Times New Roman" w:hAnsi="Times New Roman" w:cs="Times New Roman"/>
        </w:rPr>
      </w:pPr>
      <w:bookmarkStart w:id="146" w:name="_Toc1480"/>
      <w:r>
        <w:rPr>
          <w:rFonts w:hint="default" w:ascii="Times New Roman" w:hAnsi="Times New Roman" w:cs="Times New Roman"/>
          <w:lang w:eastAsia="zh-CN"/>
        </w:rPr>
        <w:t>九、</w:t>
      </w:r>
      <w:r>
        <w:rPr>
          <w:rFonts w:hint="default" w:ascii="Times New Roman" w:hAnsi="Times New Roman" w:cs="Times New Roman"/>
        </w:rPr>
        <w:t>验收监测结论及建议</w:t>
      </w:r>
      <w:bookmarkEnd w:id="132"/>
      <w:bookmarkEnd w:id="133"/>
      <w:bookmarkEnd w:id="146"/>
    </w:p>
    <w:p>
      <w:pPr>
        <w:pStyle w:val="3"/>
        <w:rPr>
          <w:rFonts w:hint="default" w:ascii="Times New Roman" w:hAnsi="Times New Roman" w:cs="Times New Roman"/>
          <w:lang w:eastAsia="zh-CN"/>
        </w:rPr>
      </w:pPr>
      <w:bookmarkStart w:id="147" w:name="_Toc29131"/>
      <w:bookmarkStart w:id="148" w:name="_Toc18878"/>
      <w:bookmarkStart w:id="149" w:name="_Toc26344"/>
      <w:bookmarkStart w:id="150" w:name="_Toc11739"/>
      <w:r>
        <w:rPr>
          <w:rFonts w:hint="default" w:ascii="Times New Roman" w:hAnsi="Times New Roman" w:cs="Times New Roman"/>
          <w:lang w:val="en-US" w:eastAsia="zh-CN"/>
        </w:rPr>
        <w:t>（一）</w:t>
      </w:r>
      <w:r>
        <w:rPr>
          <w:rFonts w:hint="default" w:ascii="Times New Roman" w:hAnsi="Times New Roman" w:cs="Times New Roman"/>
          <w:lang w:eastAsia="zh-CN"/>
        </w:rPr>
        <w:t>验收监测结论</w:t>
      </w:r>
      <w:bookmarkEnd w:id="147"/>
      <w:bookmarkEnd w:id="148"/>
      <w:bookmarkEnd w:id="149"/>
      <w:bookmarkEnd w:id="150"/>
    </w:p>
    <w:p>
      <w:pPr>
        <w:keepNext w:val="0"/>
        <w:keepLines w:val="0"/>
        <w:pageBreakBefore w:val="0"/>
        <w:widowControl w:val="0"/>
        <w:numPr>
          <w:ilvl w:val="0"/>
          <w:numId w:val="0"/>
        </w:numPr>
        <w:kinsoku/>
        <w:wordWrap/>
        <w:overflowPunct/>
        <w:topLinePunct w:val="0"/>
        <w:autoSpaceDE/>
        <w:autoSpaceDN/>
        <w:bidi w:val="0"/>
        <w:spacing w:line="360" w:lineRule="auto"/>
        <w:ind w:right="0" w:rightChars="0" w:firstLine="560" w:firstLineChars="200"/>
        <w:jc w:val="both"/>
        <w:textAlignment w:val="auto"/>
        <w:rPr>
          <w:rFonts w:hint="default" w:ascii="Times New Roman" w:hAnsi="Times New Roman" w:eastAsia="宋体" w:cs="Times New Roman"/>
          <w:b w:val="0"/>
          <w:bCs w:val="0"/>
          <w:color w:val="auto"/>
          <w:kern w:val="0"/>
          <w:sz w:val="28"/>
          <w:szCs w:val="28"/>
          <w:highlight w:val="none"/>
          <w:lang w:eastAsia="zh-CN"/>
        </w:rPr>
      </w:pPr>
      <w:r>
        <w:rPr>
          <w:rFonts w:hint="default" w:ascii="Times New Roman" w:hAnsi="Times New Roman" w:eastAsia="宋体" w:cs="Times New Roman"/>
          <w:b w:val="0"/>
          <w:bCs w:val="0"/>
          <w:color w:val="auto"/>
          <w:kern w:val="0"/>
          <w:sz w:val="28"/>
          <w:szCs w:val="28"/>
          <w:highlight w:val="none"/>
          <w:lang w:eastAsia="zh-CN"/>
        </w:rPr>
        <w:t>中国石化销售有限公司贵州黔西南</w:t>
      </w:r>
      <w:r>
        <w:rPr>
          <w:rFonts w:hint="eastAsia" w:ascii="Times New Roman" w:hAnsi="Times New Roman" w:eastAsia="宋体" w:cs="Times New Roman"/>
          <w:b w:val="0"/>
          <w:bCs w:val="0"/>
          <w:color w:val="auto"/>
          <w:kern w:val="0"/>
          <w:sz w:val="28"/>
          <w:szCs w:val="28"/>
          <w:highlight w:val="none"/>
          <w:lang w:eastAsia="zh-CN"/>
        </w:rPr>
        <w:t>贞丰城关加油站</w:t>
      </w:r>
      <w:r>
        <w:rPr>
          <w:rFonts w:hint="default" w:ascii="Times New Roman" w:hAnsi="Times New Roman" w:eastAsia="宋体" w:cs="Times New Roman"/>
          <w:b w:val="0"/>
          <w:bCs w:val="0"/>
          <w:color w:val="auto"/>
          <w:kern w:val="0"/>
          <w:sz w:val="28"/>
          <w:szCs w:val="28"/>
          <w:highlight w:val="none"/>
          <w:lang w:eastAsia="zh-CN"/>
        </w:rPr>
        <w:t>项目基本执行环境保护“三同时”制度，按</w:t>
      </w:r>
      <w:r>
        <w:rPr>
          <w:rFonts w:hint="default" w:ascii="Times New Roman" w:hAnsi="Times New Roman" w:eastAsia="宋体" w:cs="Times New Roman"/>
          <w:b w:val="0"/>
          <w:bCs w:val="0"/>
          <w:color w:val="auto"/>
          <w:kern w:val="0"/>
          <w:sz w:val="28"/>
          <w:szCs w:val="28"/>
          <w:highlight w:val="none"/>
          <w:lang w:val="en-US" w:eastAsia="zh-CN"/>
        </w:rPr>
        <w:t>《中国石化销售有限公司贵州黔西南</w:t>
      </w:r>
      <w:r>
        <w:rPr>
          <w:rFonts w:hint="eastAsia" w:ascii="Times New Roman" w:hAnsi="Times New Roman" w:eastAsia="宋体" w:cs="Times New Roman"/>
          <w:b w:val="0"/>
          <w:bCs w:val="0"/>
          <w:color w:val="auto"/>
          <w:kern w:val="0"/>
          <w:sz w:val="28"/>
          <w:szCs w:val="28"/>
          <w:highlight w:val="none"/>
          <w:lang w:val="en-US" w:eastAsia="zh-CN"/>
        </w:rPr>
        <w:t>贞丰城关加油站</w:t>
      </w:r>
      <w:r>
        <w:rPr>
          <w:rFonts w:hint="default" w:ascii="Times New Roman" w:hAnsi="Times New Roman" w:eastAsia="宋体" w:cs="Times New Roman"/>
          <w:b w:val="0"/>
          <w:bCs w:val="0"/>
          <w:color w:val="auto"/>
          <w:kern w:val="0"/>
          <w:sz w:val="28"/>
          <w:szCs w:val="28"/>
          <w:highlight w:val="none"/>
          <w:lang w:val="en-US" w:eastAsia="zh-CN"/>
        </w:rPr>
        <w:t>项目环境影响</w:t>
      </w:r>
      <w:r>
        <w:rPr>
          <w:rFonts w:hint="eastAsia" w:ascii="Times New Roman" w:hAnsi="Times New Roman" w:eastAsia="宋体" w:cs="Times New Roman"/>
          <w:b w:val="0"/>
          <w:bCs w:val="0"/>
          <w:color w:val="auto"/>
          <w:kern w:val="0"/>
          <w:sz w:val="28"/>
          <w:szCs w:val="28"/>
          <w:highlight w:val="none"/>
          <w:lang w:val="en-US" w:eastAsia="zh-CN"/>
        </w:rPr>
        <w:t>报告</w:t>
      </w:r>
      <w:r>
        <w:rPr>
          <w:rFonts w:hint="default" w:ascii="Times New Roman" w:hAnsi="Times New Roman" w:eastAsia="宋体" w:cs="Times New Roman"/>
          <w:b w:val="0"/>
          <w:bCs w:val="0"/>
          <w:color w:val="auto"/>
          <w:kern w:val="0"/>
          <w:sz w:val="28"/>
          <w:szCs w:val="28"/>
          <w:highlight w:val="none"/>
          <w:lang w:val="en-US" w:eastAsia="zh-CN"/>
        </w:rPr>
        <w:t>表</w:t>
      </w:r>
      <w:r>
        <w:rPr>
          <w:rFonts w:hint="default" w:ascii="Times New Roman" w:hAnsi="Times New Roman" w:eastAsia="宋体" w:cs="Times New Roman"/>
          <w:b w:val="0"/>
          <w:bCs w:val="0"/>
          <w:color w:val="auto"/>
          <w:kern w:val="0"/>
          <w:sz w:val="28"/>
          <w:szCs w:val="28"/>
          <w:highlight w:val="none"/>
          <w:lang w:eastAsia="zh-CN"/>
        </w:rPr>
        <w:t>》提出的要求：</w:t>
      </w:r>
      <w:r>
        <w:rPr>
          <w:rFonts w:hint="default" w:ascii="Times New Roman" w:hAnsi="Times New Roman" w:eastAsia="宋体" w:cs="Times New Roman"/>
          <w:b w:val="0"/>
          <w:bCs w:val="0"/>
          <w:color w:val="auto"/>
          <w:kern w:val="0"/>
          <w:sz w:val="28"/>
          <w:szCs w:val="28"/>
          <w:highlight w:val="none"/>
          <w:lang w:val="en-US" w:eastAsia="zh-CN"/>
        </w:rPr>
        <w:t>1、生活污水</w:t>
      </w:r>
      <w:r>
        <w:rPr>
          <w:rFonts w:hint="eastAsia" w:ascii="Times New Roman" w:hAnsi="Times New Roman" w:eastAsia="宋体" w:cs="Times New Roman"/>
          <w:b w:val="0"/>
          <w:bCs w:val="0"/>
          <w:color w:val="auto"/>
          <w:kern w:val="0"/>
          <w:sz w:val="28"/>
          <w:szCs w:val="28"/>
          <w:highlight w:val="none"/>
          <w:lang w:val="en-US" w:eastAsia="zh-CN"/>
        </w:rPr>
        <w:t>排入化粪池进行处理</w:t>
      </w:r>
      <w:r>
        <w:rPr>
          <w:rFonts w:hint="default" w:ascii="Times New Roman" w:hAnsi="Times New Roman" w:eastAsia="宋体" w:cs="Times New Roman"/>
          <w:b w:val="0"/>
          <w:bCs w:val="0"/>
          <w:color w:val="auto"/>
          <w:kern w:val="0"/>
          <w:sz w:val="28"/>
          <w:szCs w:val="28"/>
          <w:highlight w:val="none"/>
          <w:lang w:val="en-US" w:eastAsia="zh-CN"/>
        </w:rPr>
        <w:t>；</w:t>
      </w:r>
      <w:r>
        <w:rPr>
          <w:rFonts w:hint="eastAsia" w:ascii="Times New Roman" w:hAnsi="Times New Roman" w:eastAsia="宋体" w:cs="Times New Roman"/>
          <w:b w:val="0"/>
          <w:bCs w:val="0"/>
          <w:color w:val="auto"/>
          <w:kern w:val="0"/>
          <w:sz w:val="28"/>
          <w:szCs w:val="28"/>
          <w:highlight w:val="none"/>
          <w:lang w:val="en-US" w:eastAsia="zh-CN"/>
        </w:rPr>
        <w:t>地面冲洗废水经隔油池处理后，清水排入市政污水管网，进入贞丰污水处理厂处理。</w:t>
      </w:r>
      <w:r>
        <w:rPr>
          <w:rFonts w:hint="default" w:ascii="Times New Roman" w:hAnsi="Times New Roman" w:eastAsia="宋体" w:cs="Times New Roman"/>
          <w:b w:val="0"/>
          <w:bCs w:val="0"/>
          <w:color w:val="auto"/>
          <w:kern w:val="0"/>
          <w:sz w:val="28"/>
          <w:szCs w:val="28"/>
          <w:highlight w:val="none"/>
          <w:lang w:val="en-US" w:eastAsia="zh-CN"/>
        </w:rPr>
        <w:t>2、</w:t>
      </w:r>
      <w:r>
        <w:rPr>
          <w:rFonts w:hint="eastAsia" w:ascii="Times New Roman" w:hAnsi="Times New Roman" w:eastAsia="宋体" w:cs="Times New Roman"/>
          <w:b w:val="0"/>
          <w:bCs w:val="0"/>
          <w:color w:val="auto"/>
          <w:kern w:val="0"/>
          <w:sz w:val="28"/>
          <w:szCs w:val="28"/>
          <w:highlight w:val="none"/>
          <w:lang w:val="en-US" w:eastAsia="zh-CN"/>
        </w:rPr>
        <w:t>安装油气回收装置。3、</w:t>
      </w:r>
      <w:r>
        <w:rPr>
          <w:rFonts w:hint="default" w:ascii="Times New Roman" w:hAnsi="Times New Roman" w:eastAsia="宋体" w:cs="Times New Roman"/>
          <w:b w:val="0"/>
          <w:bCs w:val="0"/>
          <w:color w:val="auto"/>
          <w:kern w:val="0"/>
          <w:sz w:val="28"/>
          <w:szCs w:val="28"/>
          <w:highlight w:val="none"/>
          <w:lang w:val="en-US" w:eastAsia="zh-CN"/>
        </w:rPr>
        <w:t>生活垃圾集中收集，交于环卫部门统一处置；</w:t>
      </w:r>
      <w:r>
        <w:rPr>
          <w:rFonts w:hint="eastAsia" w:ascii="Times New Roman" w:hAnsi="Times New Roman" w:eastAsia="宋体" w:cs="Times New Roman"/>
          <w:b w:val="0"/>
          <w:bCs w:val="0"/>
          <w:color w:val="auto"/>
          <w:kern w:val="0"/>
          <w:sz w:val="28"/>
          <w:szCs w:val="28"/>
          <w:highlight w:val="none"/>
          <w:lang w:val="en-US" w:eastAsia="zh-CN"/>
        </w:rPr>
        <w:t>4</w:t>
      </w:r>
      <w:r>
        <w:rPr>
          <w:rFonts w:hint="default" w:ascii="Times New Roman" w:hAnsi="Times New Roman" w:eastAsia="宋体" w:cs="Times New Roman"/>
          <w:b w:val="0"/>
          <w:bCs w:val="0"/>
          <w:color w:val="auto"/>
          <w:kern w:val="0"/>
          <w:sz w:val="28"/>
          <w:szCs w:val="28"/>
          <w:highlight w:val="none"/>
          <w:lang w:val="en-US" w:eastAsia="zh-CN"/>
        </w:rPr>
        <w:t>、油水分离池污泥和上层浮油渣、油罐油泥、油渣，交由有危废处理资质的单位处理。</w:t>
      </w:r>
      <w:r>
        <w:rPr>
          <w:rFonts w:hint="default" w:ascii="Times New Roman" w:hAnsi="Times New Roman" w:eastAsia="宋体" w:cs="Times New Roman"/>
          <w:b w:val="0"/>
          <w:bCs w:val="0"/>
          <w:color w:val="auto"/>
          <w:kern w:val="0"/>
          <w:sz w:val="28"/>
          <w:szCs w:val="28"/>
          <w:highlight w:val="none"/>
          <w:lang w:eastAsia="zh-CN"/>
        </w:rPr>
        <w:t>验收监测期间，运营设备和环保设施运行正常，营业正常。</w:t>
      </w:r>
    </w:p>
    <w:p>
      <w:pPr>
        <w:keepNext w:val="0"/>
        <w:keepLines w:val="0"/>
        <w:pageBreakBefore w:val="0"/>
        <w:widowControl w:val="0"/>
        <w:numPr>
          <w:ilvl w:val="0"/>
          <w:numId w:val="3"/>
        </w:numPr>
        <w:kinsoku/>
        <w:wordWrap/>
        <w:overflowPunct/>
        <w:topLinePunct w:val="0"/>
        <w:autoSpaceDE/>
        <w:autoSpaceDN/>
        <w:bidi w:val="0"/>
        <w:spacing w:line="360" w:lineRule="auto"/>
        <w:ind w:right="0" w:rightChars="0" w:firstLine="562" w:firstLineChars="200"/>
        <w:jc w:val="both"/>
        <w:textAlignment w:val="auto"/>
        <w:rPr>
          <w:rFonts w:hint="eastAsia" w:ascii="Times New Roman" w:hAnsi="Times New Roman" w:eastAsia="宋体" w:cs="Times New Roman"/>
          <w:b/>
          <w:bCs/>
          <w:color w:val="auto"/>
          <w:kern w:val="0"/>
          <w:sz w:val="28"/>
          <w:szCs w:val="28"/>
          <w:highlight w:val="none"/>
          <w:lang w:val="en-US" w:eastAsia="zh-CN"/>
        </w:rPr>
      </w:pPr>
      <w:r>
        <w:rPr>
          <w:rFonts w:hint="eastAsia" w:ascii="Times New Roman" w:hAnsi="Times New Roman" w:eastAsia="宋体" w:cs="Times New Roman"/>
          <w:b/>
          <w:bCs/>
          <w:color w:val="auto"/>
          <w:kern w:val="0"/>
          <w:sz w:val="28"/>
          <w:szCs w:val="28"/>
          <w:highlight w:val="none"/>
          <w:lang w:val="en-US" w:eastAsia="zh-CN"/>
        </w:rPr>
        <w:t>废水</w:t>
      </w:r>
    </w:p>
    <w:p>
      <w:pPr>
        <w:keepNext w:val="0"/>
        <w:keepLines w:val="0"/>
        <w:pageBreakBefore w:val="0"/>
        <w:widowControl w:val="0"/>
        <w:numPr>
          <w:ilvl w:val="0"/>
          <w:numId w:val="4"/>
        </w:numPr>
        <w:kinsoku/>
        <w:wordWrap/>
        <w:overflowPunct/>
        <w:topLinePunct w:val="0"/>
        <w:autoSpaceDE/>
        <w:autoSpaceDN/>
        <w:bidi w:val="0"/>
        <w:spacing w:line="360" w:lineRule="auto"/>
        <w:ind w:left="0" w:leftChars="0" w:right="0" w:rightChars="0" w:firstLine="560" w:firstLineChars="200"/>
        <w:jc w:val="both"/>
        <w:textAlignment w:val="auto"/>
        <w:rPr>
          <w:rFonts w:hint="eastAsia" w:ascii="Times New Roman" w:hAnsi="Times New Roman" w:eastAsia="宋体" w:cs="Times New Roman"/>
          <w:color w:val="auto"/>
          <w:kern w:val="0"/>
          <w:sz w:val="28"/>
          <w:szCs w:val="28"/>
          <w:highlight w:val="none"/>
          <w:lang w:val="en-US" w:eastAsia="zh-CN"/>
        </w:rPr>
      </w:pPr>
      <w:r>
        <w:rPr>
          <w:rFonts w:hint="eastAsia" w:ascii="Times New Roman" w:hAnsi="Times New Roman" w:eastAsia="宋体" w:cs="Times New Roman"/>
          <w:color w:val="auto"/>
          <w:kern w:val="0"/>
          <w:sz w:val="28"/>
          <w:szCs w:val="28"/>
          <w:highlight w:val="none"/>
          <w:lang w:val="en-US" w:eastAsia="zh-CN"/>
        </w:rPr>
        <w:t>验收监测期间，生活废水排放量小，经隔油池和化粪池处理后，定期清掏用作农肥，不外排。</w:t>
      </w:r>
    </w:p>
    <w:p>
      <w:pPr>
        <w:keepNext w:val="0"/>
        <w:keepLines w:val="0"/>
        <w:pageBreakBefore w:val="0"/>
        <w:widowControl w:val="0"/>
        <w:numPr>
          <w:ilvl w:val="0"/>
          <w:numId w:val="4"/>
        </w:numPr>
        <w:kinsoku/>
        <w:wordWrap/>
        <w:overflowPunct/>
        <w:topLinePunct w:val="0"/>
        <w:autoSpaceDE/>
        <w:autoSpaceDN/>
        <w:bidi w:val="0"/>
        <w:spacing w:line="360" w:lineRule="auto"/>
        <w:ind w:left="0" w:leftChars="0" w:right="0" w:rightChars="0" w:firstLine="560" w:firstLineChars="200"/>
        <w:jc w:val="both"/>
        <w:textAlignment w:val="auto"/>
        <w:rPr>
          <w:rFonts w:hint="eastAsia" w:ascii="Times New Roman" w:hAnsi="Times New Roman" w:eastAsia="宋体" w:cs="Times New Roman"/>
          <w:color w:val="auto"/>
          <w:kern w:val="0"/>
          <w:sz w:val="28"/>
          <w:szCs w:val="28"/>
          <w:highlight w:val="none"/>
          <w:lang w:val="en-US" w:eastAsia="zh-CN"/>
        </w:rPr>
      </w:pPr>
      <w:r>
        <w:rPr>
          <w:rFonts w:hint="eastAsia" w:ascii="Times New Roman" w:hAnsi="Times New Roman" w:eastAsia="宋体" w:cs="Times New Roman"/>
          <w:color w:val="auto"/>
          <w:kern w:val="0"/>
          <w:sz w:val="28"/>
          <w:szCs w:val="28"/>
          <w:highlight w:val="none"/>
          <w:lang w:val="en-US" w:eastAsia="zh-CN"/>
        </w:rPr>
        <w:t>地面冲洗废水总排口废水检测结果如下：</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right="0" w:rightChars="0" w:firstLine="560" w:firstLineChars="200"/>
        <w:jc w:val="both"/>
        <w:textAlignment w:val="auto"/>
        <w:rPr>
          <w:rFonts w:hint="eastAsia" w:ascii="Times New Roman" w:hAnsi="Times New Roman" w:eastAsia="宋体" w:cs="Times New Roman"/>
          <w:color w:val="auto"/>
          <w:kern w:val="0"/>
          <w:sz w:val="28"/>
          <w:szCs w:val="28"/>
          <w:highlight w:val="none"/>
          <w:lang w:val="en-US" w:eastAsia="zh-CN"/>
        </w:rPr>
      </w:pPr>
      <w:r>
        <w:rPr>
          <w:rFonts w:hint="eastAsia" w:ascii="Times New Roman" w:hAnsi="Times New Roman" w:eastAsia="宋体" w:cs="Times New Roman"/>
          <w:color w:val="auto"/>
          <w:kern w:val="0"/>
          <w:sz w:val="28"/>
          <w:szCs w:val="28"/>
          <w:highlight w:val="none"/>
          <w:lang w:val="en-US" w:eastAsia="zh-CN"/>
        </w:rPr>
        <w:t>各检测指标日均值为：</w:t>
      </w:r>
    </w:p>
    <w:p>
      <w:pPr>
        <w:keepNext w:val="0"/>
        <w:keepLines w:val="0"/>
        <w:pageBreakBefore w:val="0"/>
        <w:widowControl w:val="0"/>
        <w:numPr>
          <w:ilvl w:val="0"/>
          <w:numId w:val="0"/>
        </w:numPr>
        <w:tabs>
          <w:tab w:val="right" w:pos="8454"/>
        </w:tabs>
        <w:kinsoku/>
        <w:wordWrap/>
        <w:overflowPunct/>
        <w:topLinePunct w:val="0"/>
        <w:autoSpaceDE/>
        <w:autoSpaceDN/>
        <w:bidi w:val="0"/>
        <w:spacing w:line="360" w:lineRule="auto"/>
        <w:ind w:left="0" w:leftChars="0" w:right="0" w:rightChars="0" w:firstLine="560" w:firstLineChars="200"/>
        <w:jc w:val="both"/>
        <w:textAlignment w:val="auto"/>
        <w:rPr>
          <w:rFonts w:hint="eastAsia" w:ascii="Times New Roman" w:hAnsi="Times New Roman" w:eastAsia="宋体" w:cs="Times New Roman"/>
          <w:color w:val="auto"/>
          <w:kern w:val="0"/>
          <w:sz w:val="28"/>
          <w:szCs w:val="28"/>
          <w:highlight w:val="none"/>
          <w:lang w:val="en-US" w:eastAsia="zh-CN"/>
        </w:rPr>
      </w:pPr>
      <w:r>
        <w:rPr>
          <w:rFonts w:hint="eastAsia" w:ascii="Times New Roman" w:hAnsi="Times New Roman" w:eastAsia="宋体" w:cs="Times New Roman"/>
          <w:color w:val="auto"/>
          <w:kern w:val="0"/>
          <w:sz w:val="28"/>
          <w:szCs w:val="28"/>
          <w:highlight w:val="none"/>
          <w:lang w:val="en-US" w:eastAsia="zh-CN"/>
        </w:rPr>
        <w:t>pH  7.11~7.21  SS 16mg/L   CODcr 385mg/L  BOD</w:t>
      </w:r>
      <w:r>
        <w:rPr>
          <w:rFonts w:hint="eastAsia" w:ascii="Times New Roman" w:hAnsi="Times New Roman" w:eastAsia="宋体" w:cs="Times New Roman"/>
          <w:color w:val="auto"/>
          <w:kern w:val="0"/>
          <w:sz w:val="28"/>
          <w:szCs w:val="28"/>
          <w:highlight w:val="none"/>
          <w:vertAlign w:val="subscript"/>
          <w:lang w:val="en-US" w:eastAsia="zh-CN"/>
        </w:rPr>
        <w:t>5</w:t>
      </w:r>
      <w:r>
        <w:rPr>
          <w:rFonts w:hint="eastAsia" w:ascii="Times New Roman" w:hAnsi="Times New Roman" w:eastAsia="宋体" w:cs="Times New Roman"/>
          <w:color w:val="auto"/>
          <w:kern w:val="0"/>
          <w:sz w:val="28"/>
          <w:szCs w:val="28"/>
          <w:highlight w:val="none"/>
          <w:lang w:val="en-US" w:eastAsia="zh-CN"/>
        </w:rPr>
        <w:t xml:space="preserve">  125</w:t>
      </w:r>
      <w:r>
        <w:rPr>
          <w:rFonts w:hint="eastAsia" w:ascii="Times New Roman" w:hAnsi="Times New Roman" w:eastAsia="宋体" w:cs="Times New Roman"/>
          <w:color w:val="auto"/>
          <w:kern w:val="0"/>
          <w:sz w:val="28"/>
          <w:szCs w:val="28"/>
          <w:highlight w:val="none"/>
          <w:lang w:val="en-US" w:eastAsia="zh-CN"/>
        </w:rPr>
        <w:tab/>
      </w:r>
      <w:r>
        <w:rPr>
          <w:rFonts w:hint="eastAsia" w:ascii="Times New Roman" w:hAnsi="Times New Roman" w:eastAsia="宋体" w:cs="Times New Roman"/>
          <w:color w:val="auto"/>
          <w:kern w:val="0"/>
          <w:sz w:val="28"/>
          <w:szCs w:val="28"/>
          <w:highlight w:val="none"/>
          <w:lang w:val="en-US" w:eastAsia="zh-CN"/>
        </w:rPr>
        <w:t>mg/L</w:t>
      </w:r>
    </w:p>
    <w:p>
      <w:pPr>
        <w:keepNext w:val="0"/>
        <w:keepLines w:val="0"/>
        <w:pageBreakBefore w:val="0"/>
        <w:widowControl w:val="0"/>
        <w:numPr>
          <w:ilvl w:val="0"/>
          <w:numId w:val="0"/>
        </w:numPr>
        <w:tabs>
          <w:tab w:val="right" w:pos="8454"/>
        </w:tabs>
        <w:kinsoku/>
        <w:wordWrap/>
        <w:overflowPunct/>
        <w:topLinePunct w:val="0"/>
        <w:autoSpaceDE/>
        <w:autoSpaceDN/>
        <w:bidi w:val="0"/>
        <w:spacing w:line="360" w:lineRule="auto"/>
        <w:ind w:left="0" w:leftChars="0" w:right="0" w:rightChars="0" w:firstLine="560" w:firstLineChars="200"/>
        <w:jc w:val="both"/>
        <w:textAlignment w:val="auto"/>
        <w:rPr>
          <w:rFonts w:hint="eastAsia" w:ascii="Times New Roman" w:hAnsi="Times New Roman" w:eastAsia="宋体" w:cs="Times New Roman"/>
          <w:color w:val="auto"/>
          <w:kern w:val="0"/>
          <w:sz w:val="28"/>
          <w:szCs w:val="28"/>
          <w:highlight w:val="none"/>
          <w:lang w:val="en-US" w:eastAsia="zh-CN"/>
        </w:rPr>
      </w:pPr>
      <w:r>
        <w:rPr>
          <w:rFonts w:hint="eastAsia" w:ascii="Times New Roman" w:hAnsi="Times New Roman" w:eastAsia="宋体" w:cs="Times New Roman"/>
          <w:color w:val="auto"/>
          <w:kern w:val="0"/>
          <w:sz w:val="28"/>
          <w:szCs w:val="28"/>
          <w:highlight w:val="none"/>
          <w:lang w:val="en-US" w:eastAsia="zh-CN"/>
        </w:rPr>
        <w:t>石油类  15.60mg/L     动植物油 7.59mg/L    氨氮  1.90mg/L</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right="0" w:rightChars="0" w:firstLine="560" w:firstLineChars="200"/>
        <w:jc w:val="both"/>
        <w:textAlignment w:val="auto"/>
        <w:rPr>
          <w:rFonts w:hint="default" w:ascii="Times New Roman" w:hAnsi="Times New Roman" w:eastAsia="宋体" w:cs="Times New Roman"/>
          <w:color w:val="auto"/>
          <w:kern w:val="0"/>
          <w:sz w:val="28"/>
          <w:szCs w:val="28"/>
          <w:highlight w:val="none"/>
          <w:lang w:val="en-US" w:eastAsia="zh-CN"/>
        </w:rPr>
      </w:pPr>
      <w:r>
        <w:rPr>
          <w:rFonts w:hint="default" w:ascii="Times New Roman" w:hAnsi="Times New Roman" w:eastAsia="宋体" w:cs="Times New Roman"/>
          <w:color w:val="auto"/>
          <w:kern w:val="0"/>
          <w:sz w:val="28"/>
          <w:szCs w:val="28"/>
          <w:highlight w:val="none"/>
          <w:lang w:val="en-US" w:eastAsia="zh-CN"/>
        </w:rPr>
        <w:t>上述各项指标中，除氨氮无评价标准外，其余各项指标均符合</w:t>
      </w:r>
      <w:bookmarkStart w:id="163" w:name="_GoBack"/>
      <w:bookmarkEnd w:id="163"/>
      <w:r>
        <w:rPr>
          <w:rFonts w:hint="default" w:ascii="Times New Roman" w:hAnsi="Times New Roman" w:eastAsia="宋体" w:cs="Times New Roman"/>
          <w:color w:val="auto"/>
          <w:kern w:val="0"/>
          <w:sz w:val="28"/>
          <w:szCs w:val="28"/>
          <w:highlight w:val="none"/>
          <w:lang w:val="en-US" w:eastAsia="zh-CN"/>
        </w:rPr>
        <w:t>《污水综合排放标准》（GB8978-1996）表4三级标准限值要求。</w:t>
      </w:r>
    </w:p>
    <w:p>
      <w:pPr>
        <w:keepNext w:val="0"/>
        <w:keepLines w:val="0"/>
        <w:pageBreakBefore w:val="0"/>
        <w:widowControl w:val="0"/>
        <w:numPr>
          <w:ilvl w:val="0"/>
          <w:numId w:val="0"/>
        </w:numPr>
        <w:kinsoku/>
        <w:wordWrap/>
        <w:overflowPunct/>
        <w:topLinePunct w:val="0"/>
        <w:autoSpaceDE/>
        <w:autoSpaceDN/>
        <w:bidi w:val="0"/>
        <w:spacing w:line="360" w:lineRule="auto"/>
        <w:ind w:right="0" w:rightChars="0" w:firstLine="562" w:firstLineChars="200"/>
        <w:jc w:val="both"/>
        <w:textAlignment w:val="auto"/>
        <w:rPr>
          <w:rFonts w:hint="default" w:ascii="Times New Roman" w:hAnsi="Times New Roman" w:eastAsia="宋体" w:cs="Times New Roman"/>
          <w:b/>
          <w:bCs/>
          <w:color w:val="auto"/>
          <w:kern w:val="0"/>
          <w:sz w:val="28"/>
          <w:szCs w:val="28"/>
          <w:highlight w:val="none"/>
          <w:lang w:eastAsia="zh-CN"/>
        </w:rPr>
      </w:pPr>
      <w:r>
        <w:rPr>
          <w:rFonts w:hint="eastAsia" w:ascii="Times New Roman" w:hAnsi="Times New Roman" w:eastAsia="宋体" w:cs="Times New Roman"/>
          <w:b/>
          <w:bCs/>
          <w:color w:val="auto"/>
          <w:kern w:val="0"/>
          <w:sz w:val="28"/>
          <w:szCs w:val="28"/>
          <w:highlight w:val="none"/>
          <w:lang w:val="en-US" w:eastAsia="zh-CN"/>
        </w:rPr>
        <w:t>2、</w:t>
      </w:r>
      <w:r>
        <w:rPr>
          <w:rFonts w:hint="default" w:ascii="Times New Roman" w:hAnsi="Times New Roman" w:eastAsia="宋体" w:cs="Times New Roman"/>
          <w:b/>
          <w:bCs/>
          <w:color w:val="auto"/>
          <w:kern w:val="0"/>
          <w:sz w:val="28"/>
          <w:szCs w:val="28"/>
          <w:highlight w:val="none"/>
          <w:lang w:eastAsia="zh-CN"/>
        </w:rPr>
        <w:t>无组织排放废气</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right="0" w:rightChars="0" w:firstLine="560" w:firstLineChars="200"/>
        <w:jc w:val="both"/>
        <w:textAlignment w:val="auto"/>
        <w:rPr>
          <w:rFonts w:hint="default" w:ascii="Times New Roman" w:hAnsi="Times New Roman" w:eastAsia="宋体" w:cs="Times New Roman"/>
          <w:color w:val="000000"/>
          <w:kern w:val="0"/>
          <w:sz w:val="28"/>
          <w:szCs w:val="28"/>
          <w:highlight w:val="none"/>
        </w:rPr>
      </w:pPr>
      <w:r>
        <w:rPr>
          <w:rFonts w:hint="default" w:ascii="Times New Roman" w:hAnsi="Times New Roman" w:eastAsia="宋体" w:cs="Times New Roman"/>
          <w:color w:val="auto"/>
          <w:kern w:val="0"/>
          <w:sz w:val="28"/>
          <w:szCs w:val="28"/>
          <w:highlight w:val="none"/>
          <w:lang w:val="en-US" w:eastAsia="zh-CN"/>
        </w:rPr>
        <w:t>周界监测非甲烷总烃最高浓度：</w:t>
      </w:r>
      <w:r>
        <w:rPr>
          <w:rFonts w:hint="eastAsia" w:ascii="Times New Roman" w:hAnsi="Times New Roman" w:eastAsia="宋体" w:cs="Times New Roman"/>
          <w:color w:val="auto"/>
          <w:kern w:val="0"/>
          <w:sz w:val="28"/>
          <w:szCs w:val="28"/>
          <w:highlight w:val="none"/>
          <w:lang w:val="en-US" w:eastAsia="zh-CN"/>
        </w:rPr>
        <w:t>站界东北侧</w:t>
      </w:r>
      <w:r>
        <w:rPr>
          <w:rFonts w:hint="default" w:ascii="Times New Roman" w:hAnsi="Times New Roman" w:eastAsia="宋体" w:cs="Times New Roman"/>
          <w:color w:val="auto"/>
          <w:kern w:val="0"/>
          <w:sz w:val="28"/>
          <w:szCs w:val="28"/>
          <w:highlight w:val="none"/>
          <w:lang w:val="en-US" w:eastAsia="zh-CN"/>
        </w:rPr>
        <w:t>G</w:t>
      </w:r>
      <w:r>
        <w:rPr>
          <w:rFonts w:hint="default" w:ascii="Times New Roman" w:hAnsi="Times New Roman" w:eastAsia="宋体" w:cs="Times New Roman"/>
          <w:color w:val="auto"/>
          <w:kern w:val="0"/>
          <w:sz w:val="28"/>
          <w:szCs w:val="28"/>
          <w:highlight w:val="none"/>
          <w:vertAlign w:val="subscript"/>
          <w:lang w:val="en-US" w:eastAsia="zh-CN"/>
        </w:rPr>
        <w:t>1</w:t>
      </w:r>
      <w:r>
        <w:rPr>
          <w:rFonts w:hint="default" w:ascii="Times New Roman" w:hAnsi="Times New Roman" w:eastAsia="宋体" w:cs="Times New Roman"/>
          <w:color w:val="auto"/>
          <w:kern w:val="0"/>
          <w:sz w:val="28"/>
          <w:szCs w:val="28"/>
          <w:highlight w:val="none"/>
          <w:lang w:val="en-US" w:eastAsia="zh-CN"/>
        </w:rPr>
        <w:t xml:space="preserve"> </w:t>
      </w:r>
      <w:r>
        <w:rPr>
          <w:rFonts w:hint="eastAsia" w:ascii="Times New Roman" w:hAnsi="Times New Roman" w:eastAsia="宋体" w:cs="Times New Roman"/>
          <w:color w:val="auto"/>
          <w:kern w:val="0"/>
          <w:sz w:val="28"/>
          <w:szCs w:val="28"/>
          <w:highlight w:val="none"/>
          <w:lang w:val="en-US" w:eastAsia="zh-CN"/>
        </w:rPr>
        <w:t>1.08</w:t>
      </w:r>
      <w:r>
        <w:rPr>
          <w:rFonts w:hint="default" w:ascii="Times New Roman" w:hAnsi="Times New Roman" w:eastAsia="宋体" w:cs="Times New Roman"/>
          <w:color w:val="auto"/>
          <w:kern w:val="0"/>
          <w:sz w:val="28"/>
          <w:szCs w:val="28"/>
          <w:highlight w:val="none"/>
          <w:lang w:eastAsia="zh-CN"/>
        </w:rPr>
        <w:t>mg/m</w:t>
      </w:r>
      <w:r>
        <w:rPr>
          <w:rFonts w:hint="default" w:ascii="Times New Roman" w:hAnsi="Times New Roman" w:eastAsia="宋体" w:cs="Times New Roman"/>
          <w:color w:val="auto"/>
          <w:kern w:val="0"/>
          <w:sz w:val="28"/>
          <w:szCs w:val="28"/>
          <w:highlight w:val="none"/>
          <w:vertAlign w:val="superscript"/>
          <w:lang w:eastAsia="zh-CN"/>
        </w:rPr>
        <w:t>3</w:t>
      </w:r>
      <w:r>
        <w:rPr>
          <w:rFonts w:hint="default" w:ascii="Times New Roman" w:hAnsi="Times New Roman" w:eastAsia="宋体" w:cs="Times New Roman"/>
          <w:color w:val="auto"/>
          <w:kern w:val="0"/>
          <w:sz w:val="28"/>
          <w:szCs w:val="28"/>
          <w:highlight w:val="none"/>
          <w:lang w:val="en-US" w:eastAsia="zh-CN"/>
        </w:rPr>
        <w:t>；</w:t>
      </w:r>
      <w:r>
        <w:rPr>
          <w:rFonts w:hint="eastAsia" w:ascii="Times New Roman" w:hAnsi="Times New Roman" w:eastAsia="宋体" w:cs="Times New Roman"/>
          <w:color w:val="auto"/>
          <w:kern w:val="0"/>
          <w:sz w:val="28"/>
          <w:szCs w:val="28"/>
          <w:highlight w:val="none"/>
          <w:lang w:val="en-US" w:eastAsia="zh-CN"/>
        </w:rPr>
        <w:t>站界南侧</w:t>
      </w:r>
      <w:r>
        <w:rPr>
          <w:rFonts w:hint="default" w:ascii="Times New Roman" w:hAnsi="Times New Roman" w:eastAsia="宋体" w:cs="Times New Roman"/>
          <w:color w:val="auto"/>
          <w:kern w:val="0"/>
          <w:sz w:val="28"/>
          <w:szCs w:val="28"/>
          <w:highlight w:val="none"/>
          <w:lang w:val="en-US" w:eastAsia="zh-CN"/>
        </w:rPr>
        <w:t>G</w:t>
      </w:r>
      <w:r>
        <w:rPr>
          <w:rFonts w:hint="default" w:ascii="Times New Roman" w:hAnsi="Times New Roman" w:eastAsia="宋体" w:cs="Times New Roman"/>
          <w:color w:val="auto"/>
          <w:kern w:val="0"/>
          <w:sz w:val="28"/>
          <w:szCs w:val="28"/>
          <w:highlight w:val="none"/>
          <w:vertAlign w:val="subscript"/>
          <w:lang w:val="en-US" w:eastAsia="zh-CN"/>
        </w:rPr>
        <w:t>2</w:t>
      </w:r>
      <w:r>
        <w:rPr>
          <w:rFonts w:hint="default" w:ascii="Times New Roman" w:hAnsi="Times New Roman" w:eastAsia="宋体" w:cs="Times New Roman"/>
          <w:color w:val="auto"/>
          <w:kern w:val="0"/>
          <w:sz w:val="28"/>
          <w:szCs w:val="28"/>
          <w:highlight w:val="none"/>
          <w:lang w:val="en-US" w:eastAsia="zh-CN"/>
        </w:rPr>
        <w:t xml:space="preserve"> </w:t>
      </w:r>
      <w:r>
        <w:rPr>
          <w:rFonts w:hint="eastAsia" w:ascii="Times New Roman" w:hAnsi="Times New Roman" w:eastAsia="宋体" w:cs="Times New Roman"/>
          <w:color w:val="auto"/>
          <w:kern w:val="0"/>
          <w:sz w:val="28"/>
          <w:szCs w:val="28"/>
          <w:highlight w:val="none"/>
          <w:lang w:val="en-US" w:eastAsia="zh-CN"/>
        </w:rPr>
        <w:t>0.95</w:t>
      </w:r>
      <w:r>
        <w:rPr>
          <w:rFonts w:hint="default" w:ascii="Times New Roman" w:hAnsi="Times New Roman" w:eastAsia="宋体" w:cs="Times New Roman"/>
          <w:color w:val="auto"/>
          <w:kern w:val="0"/>
          <w:sz w:val="28"/>
          <w:szCs w:val="28"/>
          <w:highlight w:val="none"/>
          <w:lang w:eastAsia="zh-CN"/>
        </w:rPr>
        <w:t>mg/m</w:t>
      </w:r>
      <w:r>
        <w:rPr>
          <w:rFonts w:hint="default" w:ascii="Times New Roman" w:hAnsi="Times New Roman" w:eastAsia="宋体" w:cs="Times New Roman"/>
          <w:color w:val="auto"/>
          <w:kern w:val="0"/>
          <w:sz w:val="28"/>
          <w:szCs w:val="28"/>
          <w:highlight w:val="none"/>
          <w:vertAlign w:val="superscript"/>
          <w:lang w:eastAsia="zh-CN"/>
        </w:rPr>
        <w:t>3</w:t>
      </w:r>
      <w:r>
        <w:rPr>
          <w:rFonts w:hint="default" w:ascii="Times New Roman" w:hAnsi="Times New Roman" w:eastAsia="宋体" w:cs="Times New Roman"/>
          <w:color w:val="auto"/>
          <w:kern w:val="0"/>
          <w:sz w:val="28"/>
          <w:szCs w:val="28"/>
          <w:highlight w:val="none"/>
          <w:vertAlign w:val="baseline"/>
          <w:lang w:eastAsia="zh-CN"/>
        </w:rPr>
        <w:t>；</w:t>
      </w:r>
      <w:r>
        <w:rPr>
          <w:rFonts w:hint="eastAsia" w:ascii="Times New Roman" w:hAnsi="Times New Roman" w:eastAsia="宋体" w:cs="Times New Roman"/>
          <w:color w:val="auto"/>
          <w:kern w:val="0"/>
          <w:sz w:val="28"/>
          <w:szCs w:val="28"/>
          <w:highlight w:val="none"/>
          <w:lang w:val="en-US" w:eastAsia="zh-CN"/>
        </w:rPr>
        <w:t>站界西北侧</w:t>
      </w:r>
      <w:r>
        <w:rPr>
          <w:rFonts w:hint="default" w:ascii="Times New Roman" w:hAnsi="Times New Roman" w:eastAsia="宋体" w:cs="Times New Roman"/>
          <w:color w:val="auto"/>
          <w:kern w:val="0"/>
          <w:sz w:val="28"/>
          <w:szCs w:val="28"/>
          <w:highlight w:val="none"/>
          <w:lang w:val="en-US" w:eastAsia="zh-CN"/>
        </w:rPr>
        <w:t>G</w:t>
      </w:r>
      <w:r>
        <w:rPr>
          <w:rFonts w:hint="default" w:ascii="Times New Roman" w:hAnsi="Times New Roman" w:eastAsia="宋体" w:cs="Times New Roman"/>
          <w:color w:val="auto"/>
          <w:kern w:val="0"/>
          <w:sz w:val="28"/>
          <w:szCs w:val="28"/>
          <w:highlight w:val="none"/>
          <w:vertAlign w:val="subscript"/>
          <w:lang w:val="en-US" w:eastAsia="zh-CN"/>
        </w:rPr>
        <w:t>3</w:t>
      </w:r>
      <w:r>
        <w:rPr>
          <w:rFonts w:hint="default" w:ascii="Times New Roman" w:hAnsi="Times New Roman" w:eastAsia="宋体" w:cs="Times New Roman"/>
          <w:color w:val="auto"/>
          <w:kern w:val="0"/>
          <w:sz w:val="28"/>
          <w:szCs w:val="28"/>
          <w:highlight w:val="none"/>
          <w:lang w:val="en-US" w:eastAsia="zh-CN"/>
        </w:rPr>
        <w:t xml:space="preserve"> </w:t>
      </w:r>
      <w:r>
        <w:rPr>
          <w:rFonts w:hint="eastAsia" w:ascii="Times New Roman" w:hAnsi="Times New Roman" w:eastAsia="宋体" w:cs="Times New Roman"/>
          <w:color w:val="auto"/>
          <w:kern w:val="0"/>
          <w:sz w:val="28"/>
          <w:szCs w:val="28"/>
          <w:highlight w:val="none"/>
          <w:lang w:val="en-US" w:eastAsia="zh-CN"/>
        </w:rPr>
        <w:t>0.92</w:t>
      </w:r>
      <w:r>
        <w:rPr>
          <w:rFonts w:hint="default" w:ascii="Times New Roman" w:hAnsi="Times New Roman" w:eastAsia="宋体" w:cs="Times New Roman"/>
          <w:color w:val="auto"/>
          <w:kern w:val="0"/>
          <w:sz w:val="28"/>
          <w:szCs w:val="28"/>
          <w:highlight w:val="none"/>
          <w:lang w:eastAsia="zh-CN"/>
        </w:rPr>
        <w:t>mg/m</w:t>
      </w:r>
      <w:r>
        <w:rPr>
          <w:rFonts w:hint="default" w:ascii="Times New Roman" w:hAnsi="Times New Roman" w:eastAsia="宋体" w:cs="Times New Roman"/>
          <w:color w:val="auto"/>
          <w:kern w:val="0"/>
          <w:sz w:val="28"/>
          <w:szCs w:val="28"/>
          <w:highlight w:val="none"/>
          <w:vertAlign w:val="superscript"/>
          <w:lang w:eastAsia="zh-CN"/>
        </w:rPr>
        <w:t>3</w:t>
      </w:r>
      <w:r>
        <w:rPr>
          <w:rFonts w:hint="default" w:ascii="Times New Roman" w:hAnsi="Times New Roman" w:eastAsia="宋体" w:cs="Times New Roman"/>
          <w:color w:val="auto"/>
          <w:kern w:val="0"/>
          <w:sz w:val="28"/>
          <w:szCs w:val="28"/>
          <w:highlight w:val="none"/>
          <w:vertAlign w:val="baseline"/>
          <w:lang w:eastAsia="zh-CN"/>
        </w:rPr>
        <w:t>。</w:t>
      </w:r>
      <w:r>
        <w:rPr>
          <w:rFonts w:hint="default" w:ascii="Times New Roman" w:hAnsi="Times New Roman" w:eastAsia="宋体" w:cs="Times New Roman"/>
          <w:color w:val="auto"/>
          <w:kern w:val="0"/>
          <w:sz w:val="28"/>
          <w:szCs w:val="28"/>
          <w:highlight w:val="none"/>
          <w:lang w:val="en-US" w:eastAsia="zh-CN"/>
        </w:rPr>
        <w:t>上述各点无组织排放废气均符合《大气污染物综合排放标准》（GB16297-1996)表2标准限值要求。</w:t>
      </w:r>
    </w:p>
    <w:p>
      <w:pPr>
        <w:keepNext w:val="0"/>
        <w:keepLines w:val="0"/>
        <w:pageBreakBefore w:val="0"/>
        <w:widowControl w:val="0"/>
        <w:numPr>
          <w:ilvl w:val="0"/>
          <w:numId w:val="0"/>
        </w:numPr>
        <w:kinsoku/>
        <w:wordWrap/>
        <w:overflowPunct/>
        <w:topLinePunct w:val="0"/>
        <w:autoSpaceDE/>
        <w:autoSpaceDN/>
        <w:bidi w:val="0"/>
        <w:spacing w:line="360" w:lineRule="auto"/>
        <w:ind w:leftChars="200" w:right="0" w:rightChars="0"/>
        <w:jc w:val="both"/>
        <w:textAlignment w:val="auto"/>
        <w:rPr>
          <w:rFonts w:hint="default" w:ascii="Times New Roman" w:hAnsi="Times New Roman" w:eastAsia="宋体" w:cs="Times New Roman"/>
          <w:b/>
          <w:bCs/>
          <w:color w:val="000000" w:themeColor="text1"/>
          <w:kern w:val="0"/>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8"/>
          <w:szCs w:val="28"/>
          <w:highlight w:val="none"/>
          <w:lang w:eastAsia="zh-CN"/>
          <w14:textFill>
            <w14:solidFill>
              <w14:schemeClr w14:val="tx1"/>
            </w14:solidFill>
          </w14:textFill>
        </w:rPr>
        <w:t>站界</w:t>
      </w:r>
      <w:r>
        <w:rPr>
          <w:rFonts w:hint="default" w:ascii="Times New Roman" w:hAnsi="Times New Roman" w:eastAsia="宋体" w:cs="Times New Roman"/>
          <w:b/>
          <w:bCs/>
          <w:color w:val="000000" w:themeColor="text1"/>
          <w:kern w:val="0"/>
          <w:sz w:val="28"/>
          <w:szCs w:val="28"/>
          <w:highlight w:val="none"/>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right="0" w:rightChars="0" w:firstLine="560" w:firstLineChars="200"/>
        <w:jc w:val="both"/>
        <w:textAlignment w:val="auto"/>
        <w:rPr>
          <w:rFonts w:hint="default" w:ascii="Times New Roman" w:hAnsi="Times New Roman" w:eastAsia="宋体" w:cs="Times New Roman"/>
          <w:color w:val="auto"/>
          <w:kern w:val="0"/>
          <w:sz w:val="28"/>
          <w:szCs w:val="28"/>
          <w:lang w:val="en-US" w:eastAsia="zh-CN"/>
        </w:rPr>
      </w:pPr>
      <w:bookmarkStart w:id="151" w:name="_Toc25230"/>
      <w:bookmarkStart w:id="152" w:name="_Toc28471"/>
      <w:bookmarkStart w:id="153" w:name="_Toc13426"/>
      <w:r>
        <w:rPr>
          <w:rFonts w:hint="default" w:ascii="Times New Roman" w:hAnsi="Times New Roman" w:eastAsia="宋体" w:cs="Times New Roman"/>
          <w:color w:val="auto"/>
          <w:kern w:val="0"/>
          <w:sz w:val="28"/>
          <w:szCs w:val="28"/>
          <w:lang w:val="en-US" w:eastAsia="zh-CN"/>
        </w:rPr>
        <w:t>加油站本身产生的噪声很小，主要来源于加油机，由于该加油站位于</w:t>
      </w:r>
      <w:r>
        <w:rPr>
          <w:rFonts w:hint="eastAsia" w:ascii="Times New Roman" w:hAnsi="Times New Roman" w:eastAsia="宋体" w:cs="Times New Roman"/>
          <w:color w:val="auto"/>
          <w:kern w:val="0"/>
          <w:sz w:val="28"/>
          <w:szCs w:val="28"/>
          <w:lang w:val="en-US" w:eastAsia="zh-CN"/>
        </w:rPr>
        <w:t>主干道旁</w:t>
      </w:r>
      <w:r>
        <w:rPr>
          <w:rFonts w:hint="default" w:ascii="Times New Roman" w:hAnsi="Times New Roman" w:eastAsia="宋体" w:cs="Times New Roman"/>
          <w:color w:val="auto"/>
          <w:kern w:val="0"/>
          <w:sz w:val="28"/>
          <w:szCs w:val="28"/>
          <w:lang w:val="en-US" w:eastAsia="zh-CN"/>
        </w:rPr>
        <w:t>，受车辆、行人等外界噪声源影响较大，故本次选取不同时段对昼间噪声测量进行测量，以控制外源噪声对该加油站的影响。</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right="0" w:rightChars="0" w:firstLine="560" w:firstLineChars="200"/>
        <w:jc w:val="both"/>
        <w:textAlignment w:val="auto"/>
        <w:rPr>
          <w:rFonts w:hint="default" w:ascii="Times New Roman" w:hAnsi="Times New Roman" w:eastAsia="宋体" w:cs="Times New Roman"/>
          <w:color w:val="auto"/>
          <w:spacing w:val="0"/>
          <w:kern w:val="0"/>
          <w:sz w:val="28"/>
          <w:szCs w:val="28"/>
          <w:highlight w:val="none"/>
          <w:lang w:val="en-US" w:eastAsia="zh-CN"/>
        </w:rPr>
      </w:pPr>
      <w:r>
        <w:rPr>
          <w:rFonts w:hint="default" w:ascii="Times New Roman" w:hAnsi="Times New Roman" w:eastAsia="宋体" w:cs="Times New Roman"/>
          <w:color w:val="auto"/>
          <w:kern w:val="0"/>
          <w:sz w:val="28"/>
          <w:szCs w:val="28"/>
          <w:highlight w:val="none"/>
          <w:lang w:val="en-US" w:eastAsia="zh-CN"/>
        </w:rPr>
        <w:t>经控制外源噪声，站界</w:t>
      </w:r>
      <w:r>
        <w:rPr>
          <w:rFonts w:hint="eastAsia" w:ascii="Times New Roman" w:hAnsi="Times New Roman" w:eastAsia="宋体" w:cs="Times New Roman"/>
          <w:color w:val="auto"/>
          <w:kern w:val="0"/>
          <w:sz w:val="28"/>
          <w:szCs w:val="28"/>
          <w:highlight w:val="none"/>
          <w:lang w:val="en-US" w:eastAsia="zh-CN"/>
        </w:rPr>
        <w:t>东、</w:t>
      </w:r>
      <w:r>
        <w:rPr>
          <w:rFonts w:hint="default" w:ascii="Times New Roman" w:hAnsi="Times New Roman" w:eastAsia="宋体" w:cs="Times New Roman"/>
          <w:color w:val="auto"/>
          <w:kern w:val="0"/>
          <w:sz w:val="28"/>
          <w:szCs w:val="28"/>
          <w:highlight w:val="none"/>
          <w:lang w:val="en-US" w:eastAsia="zh-CN"/>
        </w:rPr>
        <w:t>西</w:t>
      </w:r>
      <w:r>
        <w:rPr>
          <w:rFonts w:hint="eastAsia" w:ascii="Times New Roman" w:hAnsi="Times New Roman" w:eastAsia="宋体" w:cs="Times New Roman"/>
          <w:color w:val="auto"/>
          <w:kern w:val="0"/>
          <w:sz w:val="28"/>
          <w:szCs w:val="28"/>
          <w:highlight w:val="none"/>
          <w:lang w:val="en-US" w:eastAsia="zh-CN"/>
        </w:rPr>
        <w:t>、北</w:t>
      </w:r>
      <w:r>
        <w:rPr>
          <w:rFonts w:hint="default" w:ascii="Times New Roman" w:hAnsi="Times New Roman" w:eastAsia="宋体" w:cs="Times New Roman"/>
          <w:color w:val="auto"/>
          <w:kern w:val="0"/>
          <w:sz w:val="28"/>
          <w:szCs w:val="28"/>
          <w:highlight w:val="none"/>
          <w:lang w:val="en-US" w:eastAsia="zh-CN"/>
        </w:rPr>
        <w:t>侧噪声昼间为</w:t>
      </w:r>
      <w:r>
        <w:rPr>
          <w:rFonts w:hint="eastAsia" w:ascii="Times New Roman" w:hAnsi="Times New Roman" w:eastAsia="宋体" w:cs="Times New Roman"/>
          <w:color w:val="auto"/>
          <w:kern w:val="0"/>
          <w:sz w:val="28"/>
          <w:szCs w:val="28"/>
          <w:highlight w:val="none"/>
          <w:lang w:val="en-US" w:eastAsia="zh-CN"/>
        </w:rPr>
        <w:t>55.2~57.4</w:t>
      </w:r>
      <w:r>
        <w:rPr>
          <w:rFonts w:hint="default" w:ascii="Times New Roman" w:hAnsi="Times New Roman" w:eastAsia="宋体" w:cs="Times New Roman"/>
          <w:color w:val="auto"/>
          <w:kern w:val="0"/>
          <w:sz w:val="28"/>
          <w:szCs w:val="28"/>
          <w:highlight w:val="none"/>
          <w:lang w:val="en-US" w:eastAsia="zh-CN"/>
        </w:rPr>
        <w:t>[dB(A)]，</w:t>
      </w:r>
      <w:r>
        <w:rPr>
          <w:rFonts w:hint="default" w:ascii="Times New Roman" w:hAnsi="Times New Roman" w:eastAsia="宋体" w:cs="Times New Roman"/>
          <w:color w:val="auto"/>
          <w:spacing w:val="0"/>
          <w:kern w:val="0"/>
          <w:sz w:val="28"/>
          <w:szCs w:val="28"/>
          <w:highlight w:val="none"/>
          <w:lang w:val="en-US" w:eastAsia="zh-CN"/>
        </w:rPr>
        <w:t>夜间为</w:t>
      </w:r>
      <w:r>
        <w:rPr>
          <w:rFonts w:hint="eastAsia" w:ascii="Times New Roman" w:hAnsi="Times New Roman" w:eastAsia="宋体" w:cs="Times New Roman"/>
          <w:color w:val="auto"/>
          <w:spacing w:val="0"/>
          <w:kern w:val="0"/>
          <w:sz w:val="28"/>
          <w:szCs w:val="28"/>
          <w:highlight w:val="none"/>
          <w:lang w:val="en-US" w:eastAsia="zh-CN"/>
        </w:rPr>
        <w:t>44.3~49.4</w:t>
      </w:r>
      <w:r>
        <w:rPr>
          <w:rFonts w:hint="default" w:ascii="Times New Roman" w:hAnsi="Times New Roman" w:eastAsia="宋体" w:cs="Times New Roman"/>
          <w:color w:val="auto"/>
          <w:spacing w:val="0"/>
          <w:kern w:val="0"/>
          <w:sz w:val="28"/>
          <w:szCs w:val="28"/>
          <w:highlight w:val="none"/>
          <w:lang w:val="en-US" w:eastAsia="zh-CN"/>
        </w:rPr>
        <w:t>[dB(A)]，符合《工业企业厂界环境噪声排放标准》（GB12348-2008）2类标准限值要求；站界</w:t>
      </w:r>
      <w:r>
        <w:rPr>
          <w:rFonts w:hint="eastAsia" w:ascii="Times New Roman" w:hAnsi="Times New Roman" w:eastAsia="宋体" w:cs="Times New Roman"/>
          <w:color w:val="auto"/>
          <w:spacing w:val="0"/>
          <w:kern w:val="0"/>
          <w:sz w:val="28"/>
          <w:szCs w:val="28"/>
          <w:highlight w:val="none"/>
          <w:lang w:val="en-US" w:eastAsia="zh-CN"/>
        </w:rPr>
        <w:t>南</w:t>
      </w:r>
      <w:r>
        <w:rPr>
          <w:rFonts w:hint="default" w:ascii="Times New Roman" w:hAnsi="Times New Roman" w:eastAsia="宋体" w:cs="Times New Roman"/>
          <w:color w:val="auto"/>
          <w:spacing w:val="0"/>
          <w:kern w:val="0"/>
          <w:sz w:val="28"/>
          <w:szCs w:val="28"/>
          <w:highlight w:val="none"/>
          <w:lang w:val="en-US" w:eastAsia="zh-CN"/>
        </w:rPr>
        <w:t>侧N</w:t>
      </w:r>
      <w:r>
        <w:rPr>
          <w:rFonts w:hint="eastAsia" w:ascii="Times New Roman" w:hAnsi="Times New Roman" w:eastAsia="宋体" w:cs="Times New Roman"/>
          <w:color w:val="auto"/>
          <w:spacing w:val="0"/>
          <w:kern w:val="0"/>
          <w:sz w:val="28"/>
          <w:szCs w:val="28"/>
          <w:highlight w:val="none"/>
          <w:lang w:val="en-US" w:eastAsia="zh-CN"/>
        </w:rPr>
        <w:t>2</w:t>
      </w:r>
      <w:r>
        <w:rPr>
          <w:rFonts w:hint="default" w:ascii="Times New Roman" w:hAnsi="Times New Roman" w:eastAsia="宋体" w:cs="Times New Roman"/>
          <w:color w:val="auto"/>
          <w:spacing w:val="0"/>
          <w:kern w:val="0"/>
          <w:sz w:val="28"/>
          <w:szCs w:val="28"/>
          <w:highlight w:val="none"/>
          <w:lang w:val="en-US" w:eastAsia="zh-CN"/>
        </w:rPr>
        <w:t>临主干道，</w:t>
      </w:r>
      <w:r>
        <w:rPr>
          <w:rFonts w:hint="default" w:ascii="Times New Roman" w:hAnsi="Times New Roman" w:eastAsia="宋体" w:cs="Times New Roman"/>
          <w:color w:val="auto"/>
          <w:kern w:val="0"/>
          <w:sz w:val="28"/>
          <w:szCs w:val="28"/>
          <w:highlight w:val="none"/>
          <w:lang w:val="en-US" w:eastAsia="zh-CN"/>
        </w:rPr>
        <w:t>昼间噪声为</w:t>
      </w:r>
      <w:r>
        <w:rPr>
          <w:rFonts w:hint="eastAsia" w:ascii="Times New Roman" w:hAnsi="Times New Roman" w:eastAsia="宋体" w:cs="Times New Roman"/>
          <w:color w:val="auto"/>
          <w:kern w:val="0"/>
          <w:sz w:val="28"/>
          <w:szCs w:val="28"/>
          <w:highlight w:val="none"/>
          <w:lang w:val="en-US" w:eastAsia="zh-CN"/>
        </w:rPr>
        <w:t>55.8~56.4</w:t>
      </w:r>
      <w:r>
        <w:rPr>
          <w:rFonts w:hint="default" w:ascii="Times New Roman" w:hAnsi="Times New Roman" w:eastAsia="宋体" w:cs="Times New Roman"/>
          <w:color w:val="auto"/>
          <w:spacing w:val="0"/>
          <w:kern w:val="0"/>
          <w:sz w:val="28"/>
          <w:szCs w:val="28"/>
          <w:highlight w:val="none"/>
          <w:lang w:val="en-US" w:eastAsia="zh-CN"/>
        </w:rPr>
        <w:t>[dB(A)]，夜间为</w:t>
      </w:r>
      <w:r>
        <w:rPr>
          <w:rFonts w:hint="eastAsia" w:ascii="Times New Roman" w:hAnsi="Times New Roman" w:eastAsia="宋体" w:cs="Times New Roman"/>
          <w:color w:val="auto"/>
          <w:spacing w:val="0"/>
          <w:kern w:val="0"/>
          <w:sz w:val="28"/>
          <w:szCs w:val="28"/>
          <w:highlight w:val="none"/>
          <w:lang w:val="en-US" w:eastAsia="zh-CN"/>
        </w:rPr>
        <w:t>44.8~48.1</w:t>
      </w:r>
      <w:r>
        <w:rPr>
          <w:rFonts w:hint="default" w:ascii="Times New Roman" w:hAnsi="Times New Roman" w:eastAsia="宋体" w:cs="Times New Roman"/>
          <w:color w:val="auto"/>
          <w:spacing w:val="0"/>
          <w:kern w:val="0"/>
          <w:sz w:val="28"/>
          <w:szCs w:val="28"/>
          <w:highlight w:val="none"/>
          <w:lang w:val="en-US" w:eastAsia="zh-CN"/>
        </w:rPr>
        <w:t>dB(A)]，符合《工业企业厂界环境噪声排放标准》（GB12348-2008）4类标准限值要求。</w:t>
      </w:r>
    </w:p>
    <w:p>
      <w:pPr>
        <w:pStyle w:val="4"/>
        <w:numPr>
          <w:ilvl w:val="0"/>
          <w:numId w:val="5"/>
        </w:numPr>
        <w:rPr>
          <w:rFonts w:hint="default" w:ascii="Times New Roman" w:hAnsi="Times New Roman" w:cs="Times New Roman"/>
          <w:lang w:val="en-US" w:eastAsia="zh-CN"/>
        </w:rPr>
      </w:pPr>
      <w:bookmarkStart w:id="154" w:name="_Toc15436"/>
      <w:r>
        <w:rPr>
          <w:rFonts w:hint="default" w:ascii="Times New Roman" w:hAnsi="Times New Roman" w:cs="Times New Roman"/>
          <w:lang w:val="en-US" w:eastAsia="zh-CN"/>
        </w:rPr>
        <w:t>建议</w:t>
      </w:r>
      <w:bookmarkEnd w:id="151"/>
      <w:bookmarkEnd w:id="152"/>
      <w:bookmarkEnd w:id="153"/>
      <w:bookmarkEnd w:id="154"/>
    </w:p>
    <w:p>
      <w:pPr>
        <w:keepNext w:val="0"/>
        <w:keepLines w:val="0"/>
        <w:pageBreakBefore w:val="0"/>
        <w:widowControl w:val="0"/>
        <w:numPr>
          <w:ilvl w:val="0"/>
          <w:numId w:val="0"/>
        </w:numPr>
        <w:tabs>
          <w:tab w:val="left" w:pos="1080"/>
        </w:tabs>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1"/>
        <w:rPr>
          <w:rFonts w:hint="default" w:ascii="Times New Roman" w:hAnsi="Times New Roman" w:eastAsia="宋体" w:cs="Times New Roman"/>
          <w:bCs/>
          <w:color w:val="auto"/>
          <w:sz w:val="28"/>
          <w:szCs w:val="28"/>
        </w:rPr>
      </w:pPr>
      <w:bookmarkStart w:id="155" w:name="_Toc30195"/>
      <w:bookmarkStart w:id="156" w:name="_Toc10367"/>
      <w:bookmarkStart w:id="157" w:name="_Toc22221"/>
      <w:bookmarkStart w:id="158" w:name="_Toc5480"/>
      <w:r>
        <w:rPr>
          <w:rFonts w:hint="default" w:ascii="Times New Roman" w:hAnsi="Times New Roman" w:eastAsia="宋体" w:cs="Times New Roman"/>
          <w:bCs/>
          <w:color w:val="auto"/>
          <w:sz w:val="28"/>
          <w:szCs w:val="28"/>
          <w:lang w:val="en-US" w:eastAsia="zh-CN"/>
        </w:rPr>
        <w:t>1、</w:t>
      </w:r>
      <w:r>
        <w:rPr>
          <w:rFonts w:hint="default" w:ascii="Times New Roman" w:hAnsi="Times New Roman" w:eastAsia="宋体" w:cs="Times New Roman"/>
          <w:bCs/>
          <w:color w:val="auto"/>
          <w:sz w:val="28"/>
          <w:szCs w:val="28"/>
        </w:rPr>
        <w:t>完善环境保护规章制度，明确专人负责环境保护方面工作，做到环</w:t>
      </w:r>
      <w:bookmarkEnd w:id="155"/>
      <w:bookmarkStart w:id="159" w:name="_Toc24327"/>
      <w:r>
        <w:rPr>
          <w:rFonts w:hint="default" w:ascii="Times New Roman" w:hAnsi="Times New Roman" w:eastAsia="宋体" w:cs="Times New Roman"/>
          <w:bCs/>
          <w:color w:val="auto"/>
          <w:sz w:val="28"/>
          <w:szCs w:val="28"/>
        </w:rPr>
        <w:t>保制度上墙。</w:t>
      </w:r>
      <w:bookmarkEnd w:id="156"/>
      <w:bookmarkEnd w:id="157"/>
      <w:bookmarkEnd w:id="158"/>
      <w:bookmarkEnd w:id="159"/>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Cs/>
          <w:color w:val="auto"/>
          <w:sz w:val="28"/>
          <w:szCs w:val="28"/>
          <w:lang w:val="en-US" w:eastAsia="zh-CN"/>
        </w:rPr>
      </w:pPr>
      <w:bookmarkStart w:id="160" w:name="_Toc2539"/>
      <w:bookmarkStart w:id="161" w:name="_Toc15762"/>
      <w:r>
        <w:rPr>
          <w:rFonts w:hint="default" w:ascii="Times New Roman" w:hAnsi="Times New Roman" w:eastAsia="宋体" w:cs="Times New Roman"/>
          <w:bCs/>
          <w:color w:val="auto"/>
          <w:sz w:val="28"/>
          <w:szCs w:val="28"/>
          <w:lang w:val="en-US" w:eastAsia="zh-CN"/>
        </w:rPr>
        <w:t>2、化粪池、隔油池定期清掏。</w:t>
      </w:r>
    </w:p>
    <w:p>
      <w:pPr>
        <w:pStyle w:val="2"/>
        <w:rPr>
          <w:rFonts w:hint="default" w:ascii="Times New Roman" w:hAnsi="Times New Roman" w:cs="Times New Roman"/>
          <w:lang w:val="en-US" w:eastAsia="zh-CN"/>
        </w:rPr>
      </w:pPr>
      <w:r>
        <w:rPr>
          <w:rFonts w:hint="default" w:ascii="Times New Roman" w:hAnsi="Times New Roman" w:eastAsia="宋体" w:cs="Times New Roman"/>
          <w:bCs/>
          <w:color w:val="auto"/>
          <w:sz w:val="28"/>
          <w:szCs w:val="28"/>
          <w:lang w:val="en-US" w:eastAsia="zh-CN"/>
        </w:rPr>
        <w:t>3、加强绿化。</w:t>
      </w:r>
    </w:p>
    <w:p>
      <w:pPr>
        <w:pStyle w:val="3"/>
        <w:rPr>
          <w:rFonts w:hint="default" w:ascii="Times New Roman" w:hAnsi="Times New Roman" w:cs="Times New Roman"/>
        </w:rPr>
      </w:pPr>
      <w:bookmarkStart w:id="162" w:name="_Toc29562"/>
      <w:r>
        <w:rPr>
          <w:rFonts w:hint="default" w:ascii="Times New Roman" w:hAnsi="Times New Roman" w:cs="Times New Roman"/>
          <w:lang w:eastAsia="zh-CN"/>
        </w:rPr>
        <w:t>十</w:t>
      </w:r>
      <w:r>
        <w:rPr>
          <w:rFonts w:hint="default" w:ascii="Times New Roman" w:hAnsi="Times New Roman" w:cs="Times New Roman"/>
        </w:rPr>
        <w:t>、</w:t>
      </w:r>
      <w:r>
        <w:rPr>
          <w:rFonts w:hint="default" w:ascii="Times New Roman" w:hAnsi="Times New Roman" w:cs="Times New Roman"/>
          <w:lang w:eastAsia="zh-CN"/>
        </w:rPr>
        <w:t>附图</w:t>
      </w:r>
      <w:r>
        <w:rPr>
          <w:rFonts w:hint="default" w:ascii="Times New Roman" w:hAnsi="Times New Roman" w:cs="Times New Roman"/>
        </w:rPr>
        <w:t>附件</w:t>
      </w:r>
      <w:bookmarkEnd w:id="160"/>
      <w:bookmarkEnd w:id="161"/>
      <w:bookmarkEnd w:id="1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rPr>
          <w:rFonts w:hint="default" w:ascii="Times New Roman" w:hAnsi="Times New Roman" w:eastAsia="宋体" w:cs="Times New Roman"/>
          <w:color w:val="000000" w:themeColor="text1"/>
          <w:spacing w:val="-6"/>
          <w:kern w:val="0"/>
          <w:sz w:val="28"/>
          <w:szCs w:val="28"/>
          <w:lang w:val="en-US" w:eastAsia="zh-CN"/>
          <w14:textFill>
            <w14:solidFill>
              <w14:schemeClr w14:val="tx1"/>
            </w14:solidFill>
          </w14:textFill>
        </w:rPr>
      </w:pPr>
      <w:r>
        <w:rPr>
          <w:rFonts w:hint="default" w:ascii="Times New Roman" w:hAnsi="Times New Roman" w:eastAsia="宋体" w:cs="Times New Roman"/>
          <w:b/>
          <w:bCs/>
          <w:color w:val="000000" w:themeColor="text1"/>
          <w:spacing w:val="-6"/>
          <w:kern w:val="0"/>
          <w:sz w:val="28"/>
          <w:szCs w:val="28"/>
          <w:lang w:val="en-US" w:eastAsia="zh-CN"/>
          <w14:textFill>
            <w14:solidFill>
              <w14:schemeClr w14:val="tx1"/>
            </w14:solidFill>
          </w14:textFill>
        </w:rPr>
        <w:t>附件</w:t>
      </w:r>
      <w:r>
        <w:rPr>
          <w:rFonts w:hint="default" w:ascii="Times New Roman" w:hAnsi="Times New Roman" w:eastAsia="宋体" w:cs="Times New Roman"/>
          <w:color w:val="000000" w:themeColor="text1"/>
          <w:spacing w:val="-6"/>
          <w:kern w:val="0"/>
          <w:sz w:val="28"/>
          <w:szCs w:val="28"/>
          <w:lang w:val="en-US" w:eastAsia="zh-CN"/>
          <w14:textFill>
            <w14:solidFill>
              <w14:schemeClr w14:val="tx1"/>
            </w14:solidFill>
          </w14:textFill>
        </w:rPr>
        <w:t>：</w:t>
      </w:r>
    </w:p>
    <w:p>
      <w:pPr>
        <w:pStyle w:val="18"/>
        <w:keepNext w:val="0"/>
        <w:keepLines w:val="0"/>
        <w:pageBreakBefore w:val="0"/>
        <w:numPr>
          <w:ilvl w:val="0"/>
          <w:numId w:val="6"/>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lang w:val="en-US" w:eastAsia="zh-CN"/>
        </w:rPr>
        <w:t>贞丰县环境保护局关于对《中国石化销售有限公司贵州黔西南贞丰城关加油站建设项目环境影响报告表》贞环审核[2018]13号，2018年3月28日。</w:t>
      </w:r>
    </w:p>
    <w:p>
      <w:pPr>
        <w:pStyle w:val="18"/>
        <w:keepNext w:val="0"/>
        <w:keepLines w:val="0"/>
        <w:pageBreakBefore w:val="0"/>
        <w:numPr>
          <w:ilvl w:val="0"/>
          <w:numId w:val="6"/>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lang w:val="en-US" w:eastAsia="zh-CN"/>
        </w:rPr>
        <w:t>中国石化销售有限公司贵州黔西南</w:t>
      </w:r>
      <w:r>
        <w:rPr>
          <w:rFonts w:hint="eastAsia" w:ascii="Times New Roman" w:hAnsi="Times New Roman" w:cs="Times New Roman" w:eastAsiaTheme="minorEastAsia"/>
          <w:color w:val="auto"/>
          <w:sz w:val="28"/>
          <w:szCs w:val="28"/>
          <w:lang w:val="en-US" w:eastAsia="zh-CN"/>
        </w:rPr>
        <w:t>贞丰城关加油站</w:t>
      </w:r>
      <w:r>
        <w:rPr>
          <w:rFonts w:hint="default" w:ascii="Times New Roman" w:hAnsi="Times New Roman" w:cs="Times New Roman" w:eastAsiaTheme="minorEastAsia"/>
          <w:color w:val="auto"/>
          <w:sz w:val="28"/>
          <w:szCs w:val="28"/>
          <w:lang w:val="en-US" w:eastAsia="zh-CN"/>
        </w:rPr>
        <w:t>项目油泥处置合同。</w:t>
      </w:r>
    </w:p>
    <w:p>
      <w:pPr>
        <w:pStyle w:val="18"/>
        <w:keepNext w:val="0"/>
        <w:keepLines w:val="0"/>
        <w:pageBreakBefore w:val="0"/>
        <w:numPr>
          <w:ilvl w:val="0"/>
          <w:numId w:val="6"/>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lang w:val="en-US" w:eastAsia="zh-CN"/>
        </w:rPr>
        <w:t>中国石化销售有限公司贵州黔西南</w:t>
      </w:r>
      <w:r>
        <w:rPr>
          <w:rFonts w:hint="eastAsia" w:ascii="Times New Roman" w:hAnsi="Times New Roman" w:cs="Times New Roman" w:eastAsiaTheme="minorEastAsia"/>
          <w:color w:val="auto"/>
          <w:sz w:val="28"/>
          <w:szCs w:val="28"/>
          <w:lang w:val="en-US" w:eastAsia="zh-CN"/>
        </w:rPr>
        <w:t>贞丰城关加油站</w:t>
      </w:r>
      <w:r>
        <w:rPr>
          <w:rFonts w:hint="default" w:ascii="Times New Roman" w:hAnsi="Times New Roman" w:cs="Times New Roman" w:eastAsiaTheme="minorEastAsia"/>
          <w:color w:val="auto"/>
          <w:sz w:val="28"/>
          <w:szCs w:val="28"/>
          <w:lang w:val="en-US" w:eastAsia="zh-CN"/>
        </w:rPr>
        <w:t>项目竣工环境保护验收监测委托书</w:t>
      </w:r>
      <w:r>
        <w:rPr>
          <w:rFonts w:hint="default" w:ascii="Times New Roman" w:hAnsi="Times New Roman" w:cs="Times New Roman" w:eastAsiaTheme="minorEastAsia"/>
          <w:color w:val="auto"/>
          <w:sz w:val="28"/>
          <w:szCs w:val="28"/>
          <w:lang w:eastAsia="zh-CN"/>
        </w:rPr>
        <w:t>。</w:t>
      </w:r>
    </w:p>
    <w:p>
      <w:pPr>
        <w:pStyle w:val="18"/>
        <w:keepNext w:val="0"/>
        <w:keepLines w:val="0"/>
        <w:pageBreakBefore w:val="0"/>
        <w:numPr>
          <w:ilvl w:val="0"/>
          <w:numId w:val="0"/>
        </w:numPr>
        <w:kinsoku/>
        <w:wordWrap/>
        <w:overflowPunct/>
        <w:topLinePunct w:val="0"/>
        <w:autoSpaceDE/>
        <w:autoSpaceDN/>
        <w:bidi w:val="0"/>
        <w:adjustRightInd/>
        <w:snapToGrid/>
        <w:spacing w:line="360" w:lineRule="auto"/>
        <w:ind w:leftChars="200" w:right="0" w:rightChars="0"/>
        <w:textAlignment w:val="auto"/>
        <w:outlineLvl w:val="9"/>
        <w:rPr>
          <w:rFonts w:hint="default" w:ascii="Times New Roman" w:hAnsi="Times New Roman" w:cs="Times New Roman" w:eastAsiaTheme="minorEastAsia"/>
          <w:b/>
          <w:bCs/>
          <w:color w:val="auto"/>
          <w:sz w:val="28"/>
          <w:szCs w:val="28"/>
          <w:lang w:eastAsia="zh-CN"/>
        </w:rPr>
      </w:pPr>
      <w:r>
        <w:rPr>
          <w:rFonts w:hint="default" w:ascii="Times New Roman" w:hAnsi="Times New Roman" w:cs="Times New Roman" w:eastAsiaTheme="minorEastAsia"/>
          <w:b/>
          <w:bCs/>
          <w:color w:val="auto"/>
          <w:sz w:val="28"/>
          <w:szCs w:val="28"/>
          <w:lang w:eastAsia="zh-CN"/>
        </w:rPr>
        <w:t>附图：</w:t>
      </w:r>
    </w:p>
    <w:p>
      <w:pPr>
        <w:pStyle w:val="18"/>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outlineLvl w:val="9"/>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eastAsiaTheme="minorEastAsia"/>
          <w:color w:val="auto"/>
          <w:sz w:val="28"/>
          <w:szCs w:val="28"/>
          <w:lang w:val="en-US" w:eastAsia="zh-CN"/>
        </w:rPr>
        <w:t>1、</w:t>
      </w:r>
      <w:r>
        <w:rPr>
          <w:rFonts w:hint="default" w:ascii="Times New Roman" w:hAnsi="Times New Roman" w:cs="Times New Roman" w:eastAsiaTheme="minorEastAsia"/>
          <w:color w:val="auto"/>
          <w:sz w:val="28"/>
          <w:szCs w:val="28"/>
          <w:lang w:eastAsia="zh-CN"/>
        </w:rPr>
        <w:t>监测布点图（简图）。</w:t>
      </w:r>
    </w:p>
    <w:p>
      <w:pPr>
        <w:pStyle w:val="18"/>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outlineLvl w:val="9"/>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2、外环境关系图（简图）。</w:t>
      </w:r>
    </w:p>
    <w:p>
      <w:pPr>
        <w:pStyle w:val="18"/>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outlineLvl w:val="9"/>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color w:val="auto"/>
          <w:sz w:val="28"/>
          <w:szCs w:val="28"/>
          <w:lang w:val="en-US" w:eastAsia="zh-CN"/>
        </w:rPr>
        <w:t>3、</w:t>
      </w:r>
      <w:r>
        <w:rPr>
          <w:rFonts w:hint="eastAsia" w:ascii="Times New Roman" w:hAnsi="Times New Roman" w:cs="Times New Roman" w:eastAsiaTheme="minorEastAsia"/>
          <w:color w:val="auto"/>
          <w:sz w:val="28"/>
          <w:szCs w:val="28"/>
          <w:lang w:val="en-US" w:eastAsia="zh-CN"/>
        </w:rPr>
        <w:t>加油站环保设施图</w:t>
      </w:r>
      <w:r>
        <w:rPr>
          <w:rFonts w:hint="default" w:ascii="Times New Roman" w:hAnsi="Times New Roman" w:cs="Times New Roman" w:eastAsiaTheme="minorEastAsia"/>
          <w:color w:val="auto"/>
          <w:sz w:val="28"/>
          <w:szCs w:val="28"/>
          <w:lang w:val="en-US" w:eastAsia="zh-CN"/>
        </w:rPr>
        <w:t>。</w:t>
      </w:r>
    </w:p>
    <w:p>
      <w:pPr>
        <w:pStyle w:val="18"/>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textAlignment w:val="auto"/>
        <w:outlineLvl w:val="9"/>
        <w:rPr>
          <w:rFonts w:hint="default" w:ascii="Times New Roman" w:hAnsi="Times New Roman" w:cs="Times New Roman" w:eastAsiaTheme="minorEastAsia"/>
          <w:color w:val="auto"/>
          <w:sz w:val="28"/>
          <w:szCs w:val="28"/>
          <w:lang w:val="en-US" w:eastAsia="zh-CN"/>
        </w:rPr>
      </w:pPr>
      <w:r>
        <w:rPr>
          <w:rFonts w:hint="eastAsia" w:ascii="Times New Roman" w:hAnsi="Times New Roman" w:cs="Times New Roman" w:eastAsiaTheme="minorEastAsia"/>
          <w:color w:val="auto"/>
          <w:sz w:val="28"/>
          <w:szCs w:val="28"/>
          <w:lang w:val="en-US" w:eastAsia="zh-CN"/>
        </w:rPr>
        <w:t>4、现场采样图。</w:t>
      </w:r>
    </w:p>
    <w:p>
      <w:pPr>
        <w:tabs>
          <w:tab w:val="left" w:pos="2952"/>
        </w:tabs>
        <w:jc w:val="left"/>
        <w:rPr>
          <w:rFonts w:hint="default" w:ascii="Times New Roman" w:hAnsi="Times New Roman" w:cs="Times New Roman"/>
          <w:color w:val="000000"/>
          <w:kern w:val="2"/>
          <w:sz w:val="21"/>
          <w:szCs w:val="24"/>
          <w:lang w:val="en-US" w:eastAsia="zh-CN" w:bidi="ar-SA"/>
        </w:rPr>
        <w:sectPr>
          <w:pgSz w:w="11850" w:h="16783"/>
          <w:pgMar w:top="1417" w:right="1418" w:bottom="1417" w:left="1418" w:header="851" w:footer="992" w:gutter="0"/>
          <w:pgNumType w:fmt="decimal"/>
          <w:cols w:space="0" w:num="1"/>
          <w:rtlGutter w:val="0"/>
          <w:docGrid w:type="lines" w:linePitch="312" w:charSpace="0"/>
        </w:sectPr>
      </w:pPr>
    </w:p>
    <w:p>
      <w:pPr>
        <w:pStyle w:val="2"/>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附件1  环评批复</w:t>
      </w:r>
    </w:p>
    <w:p>
      <w:pPr>
        <w:tabs>
          <w:tab w:val="left" w:pos="2952"/>
        </w:tabs>
        <w:jc w:val="left"/>
        <w:rPr>
          <w:rFonts w:hint="eastAsia" w:cs="Times New Roman"/>
          <w:color w:val="000000"/>
          <w:kern w:val="2"/>
          <w:sz w:val="21"/>
          <w:szCs w:val="24"/>
          <w:lang w:val="en-US" w:eastAsia="zh-CN" w:bidi="ar-SA"/>
        </w:rPr>
      </w:pPr>
      <w:r>
        <w:drawing>
          <wp:inline distT="0" distB="0" distL="114300" distR="114300">
            <wp:extent cx="6196965" cy="7787005"/>
            <wp:effectExtent l="0" t="0" r="13335"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2"/>
                    <a:stretch>
                      <a:fillRect/>
                    </a:stretch>
                  </pic:blipFill>
                  <pic:spPr>
                    <a:xfrm>
                      <a:off x="0" y="0"/>
                      <a:ext cx="6196965" cy="7787005"/>
                    </a:xfrm>
                    <a:prstGeom prst="rect">
                      <a:avLst/>
                    </a:prstGeom>
                    <a:noFill/>
                    <a:ln w="9525">
                      <a:noFill/>
                    </a:ln>
                  </pic:spPr>
                </pic:pic>
              </a:graphicData>
            </a:graphic>
          </wp:inline>
        </w:drawing>
      </w:r>
      <w:r>
        <w:drawing>
          <wp:inline distT="0" distB="0" distL="114300" distR="114300">
            <wp:extent cx="6135370" cy="8267700"/>
            <wp:effectExtent l="0" t="0" r="1778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6135370" cy="8267700"/>
                    </a:xfrm>
                    <a:prstGeom prst="rect">
                      <a:avLst/>
                    </a:prstGeom>
                    <a:noFill/>
                    <a:ln w="9525">
                      <a:noFill/>
                    </a:ln>
                  </pic:spPr>
                </pic:pic>
              </a:graphicData>
            </a:graphic>
          </wp:inline>
        </w:drawing>
      </w:r>
    </w:p>
    <w:p>
      <w:pPr>
        <w:tabs>
          <w:tab w:val="left" w:pos="2952"/>
        </w:tabs>
        <w:jc w:val="left"/>
        <w:rPr>
          <w:rFonts w:hint="eastAsia" w:cs="Times New Roman"/>
          <w:color w:val="000000"/>
          <w:kern w:val="2"/>
          <w:sz w:val="21"/>
          <w:szCs w:val="24"/>
          <w:lang w:val="en-US" w:eastAsia="zh-CN" w:bidi="ar-SA"/>
        </w:rPr>
      </w:pPr>
    </w:p>
    <w:p>
      <w:pPr>
        <w:tabs>
          <w:tab w:val="left" w:pos="2952"/>
        </w:tabs>
        <w:jc w:val="left"/>
        <w:rPr>
          <w:rFonts w:hint="eastAsia" w:cs="Times New Roman"/>
          <w:color w:val="000000"/>
          <w:kern w:val="2"/>
          <w:sz w:val="21"/>
          <w:szCs w:val="24"/>
          <w:lang w:val="en-US" w:eastAsia="zh-CN" w:bidi="ar-SA"/>
        </w:rPr>
      </w:pPr>
    </w:p>
    <w:p>
      <w:pPr>
        <w:tabs>
          <w:tab w:val="left" w:pos="2952"/>
        </w:tabs>
        <w:jc w:val="left"/>
        <w:rPr>
          <w:rFonts w:hint="eastAsia" w:cs="Times New Roman"/>
          <w:color w:val="000000"/>
          <w:kern w:val="2"/>
          <w:sz w:val="21"/>
          <w:szCs w:val="24"/>
          <w:lang w:val="en-US" w:eastAsia="zh-CN" w:bidi="ar-SA"/>
        </w:rPr>
        <w:sectPr>
          <w:headerReference r:id="rId8" w:type="default"/>
          <w:pgSz w:w="11850" w:h="16783"/>
          <w:pgMar w:top="1417" w:right="1417" w:bottom="1417" w:left="1417" w:header="851" w:footer="992" w:gutter="0"/>
          <w:pgNumType w:fmt="decimal"/>
          <w:cols w:space="0" w:num="1"/>
          <w:rtlGutter w:val="0"/>
          <w:docGrid w:type="lines" w:linePitch="450" w:charSpace="0"/>
        </w:sectPr>
      </w:pPr>
    </w:p>
    <w:p>
      <w:pPr>
        <w:pStyle w:val="2"/>
        <w:rPr>
          <w:rFonts w:hint="eastAsia"/>
          <w:lang w:val="en-US" w:eastAsia="zh-CN"/>
        </w:rPr>
      </w:pPr>
    </w:p>
    <w:p>
      <w:pPr>
        <w:keepNext w:val="0"/>
        <w:keepLines w:val="0"/>
        <w:pageBreakBefore w:val="0"/>
        <w:widowControl w:val="0"/>
        <w:tabs>
          <w:tab w:val="left" w:pos="2952"/>
        </w:tabs>
        <w:kinsoku/>
        <w:wordWrap/>
        <w:overflowPunct/>
        <w:topLinePunct w:val="0"/>
        <w:autoSpaceDE/>
        <w:autoSpaceDN/>
        <w:bidi w:val="0"/>
        <w:adjustRightInd/>
        <w:snapToGrid/>
        <w:spacing w:line="240" w:lineRule="auto"/>
        <w:ind w:left="0" w:leftChars="0" w:right="0" w:rightChars="0" w:firstLine="562" w:firstLineChars="200"/>
        <w:jc w:val="left"/>
        <w:textAlignment w:val="auto"/>
        <w:outlineLvl w:val="9"/>
        <w:rPr>
          <w:rFonts w:hint="eastAsia" w:asciiTheme="minorEastAsia" w:hAnsiTheme="minorEastAsia" w:eastAsiaTheme="minorEastAsia" w:cstheme="minorEastAsia"/>
          <w:b/>
          <w:bCs/>
          <w:color w:val="000000"/>
          <w:kern w:val="2"/>
          <w:sz w:val="28"/>
          <w:szCs w:val="28"/>
          <w:lang w:val="en-US" w:eastAsia="zh-CN" w:bidi="ar-SA"/>
        </w:rPr>
      </w:pPr>
      <w:r>
        <w:rPr>
          <w:rFonts w:hint="eastAsia" w:asciiTheme="minorEastAsia" w:hAnsiTheme="minorEastAsia" w:eastAsiaTheme="minorEastAsia" w:cstheme="minorEastAsia"/>
          <w:b/>
          <w:bCs/>
          <w:color w:val="000000"/>
          <w:kern w:val="2"/>
          <w:sz w:val="28"/>
          <w:szCs w:val="28"/>
          <w:lang w:val="en-US" w:eastAsia="zh-CN" w:bidi="ar-SA"/>
        </w:rPr>
        <w:t>附件2 油泥处置合同</w:t>
      </w:r>
    </w:p>
    <w:p>
      <w:pPr>
        <w:pStyle w:val="2"/>
        <w:rPr>
          <w:rFonts w:hint="eastAsia"/>
          <w:lang w:val="en-US" w:eastAsia="zh-CN"/>
        </w:rPr>
      </w:pPr>
    </w:p>
    <w:p>
      <w:pPr>
        <w:pStyle w:val="2"/>
        <w:ind w:left="0" w:leftChars="0" w:firstLine="0" w:firstLineChars="0"/>
        <w:rPr>
          <w:rFonts w:hint="eastAsia"/>
          <w:lang w:val="en-US" w:eastAsia="zh-CN"/>
        </w:rPr>
      </w:pPr>
      <w:r>
        <w:rPr>
          <w:rFonts w:hint="default" w:ascii="Times New Roman" w:hAnsi="Times New Roman" w:eastAsia="宋体" w:cs="Times New Roman"/>
          <w:b/>
          <w:color w:val="FF0000"/>
          <w:sz w:val="23"/>
        </w:rPr>
        <w:drawing>
          <wp:inline distT="0" distB="0" distL="114300" distR="114300">
            <wp:extent cx="5478780" cy="7722235"/>
            <wp:effectExtent l="0" t="0" r="7620" b="1206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14"/>
                    <a:stretch>
                      <a:fillRect/>
                    </a:stretch>
                  </pic:blipFill>
                  <pic:spPr>
                    <a:xfrm>
                      <a:off x="0" y="0"/>
                      <a:ext cx="5478780" cy="7722235"/>
                    </a:xfrm>
                    <a:prstGeom prst="rect">
                      <a:avLst/>
                    </a:prstGeom>
                    <a:noFill/>
                    <a:ln w="9525">
                      <a:noFill/>
                    </a:ln>
                  </pic:spPr>
                </pic:pic>
              </a:graphicData>
            </a:graphic>
          </wp:inline>
        </w:drawing>
      </w:r>
    </w:p>
    <w:p>
      <w:pPr>
        <w:tabs>
          <w:tab w:val="left" w:pos="2952"/>
        </w:tabs>
        <w:jc w:val="left"/>
        <w:rPr>
          <w:rFonts w:hint="eastAsia"/>
          <w:lang w:val="en-US" w:eastAsia="zh-CN"/>
        </w:rPr>
      </w:pPr>
    </w:p>
    <w:p>
      <w:pPr>
        <w:tabs>
          <w:tab w:val="left" w:pos="2952"/>
        </w:tabs>
        <w:jc w:val="left"/>
        <w:rPr>
          <w:rFonts w:hint="eastAsia"/>
          <w:lang w:val="en-US" w:eastAsia="zh-CN"/>
        </w:rPr>
      </w:pPr>
      <w:r>
        <w:rPr>
          <w:rFonts w:hint="default" w:ascii="Times New Roman" w:hAnsi="Times New Roman" w:eastAsia="宋体" w:cs="Times New Roman"/>
          <w:sz w:val="21"/>
        </w:rPr>
        <w:drawing>
          <wp:inline distT="0" distB="0" distL="114300" distR="114300">
            <wp:extent cx="6093460" cy="8551545"/>
            <wp:effectExtent l="0" t="0" r="2540" b="190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15"/>
                    <a:stretch>
                      <a:fillRect/>
                    </a:stretch>
                  </pic:blipFill>
                  <pic:spPr>
                    <a:xfrm>
                      <a:off x="0" y="0"/>
                      <a:ext cx="6093460" cy="8551545"/>
                    </a:xfrm>
                    <a:prstGeom prst="rect">
                      <a:avLst/>
                    </a:prstGeom>
                    <a:noFill/>
                    <a:ln w="9525">
                      <a:noFill/>
                    </a:ln>
                  </pic:spPr>
                </pic:pic>
              </a:graphicData>
            </a:graphic>
          </wp:inline>
        </w:drawing>
      </w:r>
    </w:p>
    <w:p>
      <w:pPr>
        <w:tabs>
          <w:tab w:val="left" w:pos="2952"/>
        </w:tabs>
        <w:jc w:val="left"/>
        <w:rPr>
          <w:rFonts w:hint="eastAsia"/>
          <w:lang w:val="en-US" w:eastAsia="zh-CN"/>
        </w:rPr>
      </w:pPr>
      <w:r>
        <w:rPr>
          <w:rFonts w:hint="default" w:ascii="Times New Roman" w:hAnsi="Times New Roman" w:eastAsia="宋体" w:cs="Times New Roman"/>
          <w:sz w:val="21"/>
        </w:rPr>
        <w:drawing>
          <wp:inline distT="0" distB="0" distL="114300" distR="114300">
            <wp:extent cx="5818505" cy="8637905"/>
            <wp:effectExtent l="0" t="0" r="10795" b="10795"/>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16"/>
                    <a:stretch>
                      <a:fillRect/>
                    </a:stretch>
                  </pic:blipFill>
                  <pic:spPr>
                    <a:xfrm>
                      <a:off x="0" y="0"/>
                      <a:ext cx="5818505" cy="8637905"/>
                    </a:xfrm>
                    <a:prstGeom prst="rect">
                      <a:avLst/>
                    </a:prstGeom>
                    <a:noFill/>
                    <a:ln w="9525">
                      <a:noFill/>
                    </a:ln>
                  </pic:spPr>
                </pic:pic>
              </a:graphicData>
            </a:graphic>
          </wp:inline>
        </w:drawing>
      </w:r>
    </w:p>
    <w:p>
      <w:pPr>
        <w:pStyle w:val="2"/>
        <w:rPr>
          <w:rFonts w:hint="eastAsia"/>
          <w:lang w:val="en-US" w:eastAsia="zh-CN"/>
        </w:rPr>
      </w:pPr>
      <w:r>
        <w:rPr>
          <w:rFonts w:hint="default" w:ascii="Times New Roman" w:hAnsi="Times New Roman" w:eastAsia="宋体" w:cs="Times New Roman"/>
          <w:sz w:val="21"/>
        </w:rPr>
        <w:drawing>
          <wp:inline distT="0" distB="0" distL="114300" distR="114300">
            <wp:extent cx="5735320" cy="8602980"/>
            <wp:effectExtent l="0" t="0" r="17780" b="762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7"/>
                    <a:stretch>
                      <a:fillRect/>
                    </a:stretch>
                  </pic:blipFill>
                  <pic:spPr>
                    <a:xfrm>
                      <a:off x="0" y="0"/>
                      <a:ext cx="5735320" cy="8602980"/>
                    </a:xfrm>
                    <a:prstGeom prst="rect">
                      <a:avLst/>
                    </a:prstGeom>
                    <a:noFill/>
                    <a:ln w="9525">
                      <a:noFill/>
                    </a:ln>
                  </pic:spPr>
                </pic:pic>
              </a:graphicData>
            </a:graphic>
          </wp:inline>
        </w:drawing>
      </w:r>
    </w:p>
    <w:p>
      <w:pPr>
        <w:pStyle w:val="2"/>
        <w:rPr>
          <w:rFonts w:hint="eastAsia"/>
          <w:lang w:val="en-US" w:eastAsia="zh-CN"/>
        </w:rPr>
      </w:pPr>
      <w:r>
        <w:rPr>
          <w:rFonts w:hint="default" w:ascii="Times New Roman" w:hAnsi="Times New Roman" w:eastAsia="宋体" w:cs="Times New Roman"/>
          <w:sz w:val="21"/>
        </w:rPr>
        <w:drawing>
          <wp:inline distT="0" distB="0" distL="114300" distR="114300">
            <wp:extent cx="6064250" cy="8521065"/>
            <wp:effectExtent l="0" t="0" r="12700" b="13335"/>
            <wp:docPr id="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pic:cNvPicPr>
                      <a:picLocks noChangeAspect="1"/>
                    </pic:cNvPicPr>
                  </pic:nvPicPr>
                  <pic:blipFill>
                    <a:blip r:embed="rId18"/>
                    <a:stretch>
                      <a:fillRect/>
                    </a:stretch>
                  </pic:blipFill>
                  <pic:spPr>
                    <a:xfrm>
                      <a:off x="0" y="0"/>
                      <a:ext cx="6064250" cy="8521065"/>
                    </a:xfrm>
                    <a:prstGeom prst="rect">
                      <a:avLst/>
                    </a:prstGeom>
                    <a:noFill/>
                    <a:ln w="9525">
                      <a:noFill/>
                    </a:ln>
                  </pic:spPr>
                </pic:pic>
              </a:graphicData>
            </a:graphic>
          </wp:inline>
        </w:drawing>
      </w:r>
    </w:p>
    <w:p>
      <w:pPr>
        <w:pStyle w:val="2"/>
        <w:rPr>
          <w:rFonts w:hint="eastAsia"/>
          <w:lang w:val="en-US" w:eastAsia="zh-CN"/>
        </w:rPr>
      </w:pPr>
    </w:p>
    <w:p>
      <w:pPr>
        <w:pStyle w:val="2"/>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附件3 验收监测委托书</w:t>
      </w:r>
    </w:p>
    <w:p>
      <w:pPr>
        <w:pStyle w:val="2"/>
        <w:ind w:left="0" w:leftChars="0" w:firstLine="0" w:firstLineChars="0"/>
        <w:rPr>
          <w:rFonts w:hint="eastAsia" w:asciiTheme="minorEastAsia" w:hAnsiTheme="minorEastAsia" w:eastAsiaTheme="minorEastAsia" w:cstheme="minorEastAsia"/>
          <w:b/>
          <w:bCs/>
          <w:sz w:val="28"/>
          <w:szCs w:val="28"/>
          <w:lang w:val="en-US" w:eastAsia="zh-CN"/>
        </w:rPr>
      </w:pPr>
      <w:r>
        <w:rPr>
          <w:rFonts w:hint="eastAsia" w:eastAsia="宋体"/>
          <w:lang w:eastAsia="zh-CN"/>
        </w:rPr>
        <w:drawing>
          <wp:inline distT="0" distB="0" distL="114300" distR="114300">
            <wp:extent cx="5578475" cy="7931785"/>
            <wp:effectExtent l="0" t="0" r="3175" b="12065"/>
            <wp:docPr id="4" name="图片 4" descr="Doc2018050416413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201805041641340001"/>
                    <pic:cNvPicPr>
                      <a:picLocks noChangeAspect="1"/>
                    </pic:cNvPicPr>
                  </pic:nvPicPr>
                  <pic:blipFill>
                    <a:blip r:embed="rId19"/>
                    <a:stretch>
                      <a:fillRect/>
                    </a:stretch>
                  </pic:blipFill>
                  <pic:spPr>
                    <a:xfrm>
                      <a:off x="0" y="0"/>
                      <a:ext cx="5578475" cy="7931785"/>
                    </a:xfrm>
                    <a:prstGeom prst="rect">
                      <a:avLst/>
                    </a:prstGeom>
                  </pic:spPr>
                </pic:pic>
              </a:graphicData>
            </a:graphic>
          </wp:inline>
        </w:drawing>
      </w:r>
    </w:p>
    <w:p>
      <w:pPr>
        <w:pStyle w:val="2"/>
        <w:ind w:left="0" w:leftChars="0" w:firstLine="0" w:firstLineChars="0"/>
        <w:rPr>
          <w:rFonts w:hint="eastAsia"/>
          <w:lang w:val="en-US" w:eastAsia="zh-CN"/>
        </w:rPr>
      </w:pPr>
    </w:p>
    <w:p>
      <w:pPr>
        <w:pStyle w:val="2"/>
        <w:rPr>
          <w:rFonts w:hint="eastAsia"/>
          <w:lang w:val="en-US" w:eastAsia="zh-CN"/>
        </w:rPr>
        <w:sectPr>
          <w:pgSz w:w="11850" w:h="16783"/>
          <w:pgMar w:top="1417" w:right="1417" w:bottom="1417" w:left="1417" w:header="851" w:footer="992" w:gutter="0"/>
          <w:pgNumType w:fmt="decimal"/>
          <w:cols w:space="0" w:num="1"/>
          <w:rtlGutter w:val="0"/>
          <w:docGrid w:type="lines" w:linePitch="450" w:charSpace="0"/>
        </w:sectPr>
      </w:pPr>
    </w:p>
    <w:p>
      <w:pPr>
        <w:pStyle w:val="2"/>
        <w:jc w:val="left"/>
        <w:rPr>
          <w:rFonts w:hint="eastAsia"/>
          <w:lang w:val="en-US" w:eastAsia="zh-CN"/>
        </w:rPr>
      </w:pPr>
      <w:r>
        <w:rPr>
          <w:rFonts w:hint="eastAsia" w:asciiTheme="minorEastAsia" w:hAnsiTheme="minorEastAsia" w:eastAsiaTheme="minorEastAsia" w:cstheme="minorEastAsia"/>
          <w:b/>
          <w:bCs/>
          <w:sz w:val="28"/>
          <w:szCs w:val="28"/>
          <w:lang w:val="en-US" w:eastAsia="zh-CN"/>
        </w:rPr>
        <w:t>附图1 监测布点图</w:t>
      </w:r>
    </w:p>
    <w:p>
      <w:pPr>
        <w:pStyle w:val="2"/>
        <w:ind w:left="0" w:leftChars="0" w:firstLine="0" w:firstLineChars="0"/>
      </w:pPr>
      <w:r>
        <w:drawing>
          <wp:inline distT="0" distB="0" distL="114300" distR="114300">
            <wp:extent cx="8689975" cy="4982845"/>
            <wp:effectExtent l="0" t="0" r="15875" b="825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0"/>
                    <a:stretch>
                      <a:fillRect/>
                    </a:stretch>
                  </pic:blipFill>
                  <pic:spPr>
                    <a:xfrm>
                      <a:off x="0" y="0"/>
                      <a:ext cx="8689975" cy="4982845"/>
                    </a:xfrm>
                    <a:prstGeom prst="rect">
                      <a:avLst/>
                    </a:prstGeom>
                    <a:noFill/>
                    <a:ln w="9525">
                      <a:noFill/>
                    </a:ln>
                  </pic:spPr>
                </pic:pic>
              </a:graphicData>
            </a:graphic>
          </wp:inline>
        </w:drawing>
      </w:r>
    </w:p>
    <w:p>
      <w:pPr>
        <w:pStyle w:val="2"/>
        <w:jc w:val="center"/>
        <w:rPr>
          <w:rFonts w:hint="eastAsia"/>
          <w:lang w:val="en-US" w:eastAsia="zh-CN"/>
        </w:rPr>
        <w:sectPr>
          <w:pgSz w:w="16783" w:h="11850" w:orient="landscape"/>
          <w:pgMar w:top="1417" w:right="1417" w:bottom="1417" w:left="1417" w:header="851" w:footer="992" w:gutter="0"/>
          <w:pgNumType w:fmt="decimal"/>
          <w:cols w:space="0" w:num="1"/>
          <w:rtlGutter w:val="0"/>
          <w:docGrid w:type="lines" w:linePitch="450" w:charSpace="0"/>
        </w:sectPr>
      </w:pPr>
      <w:r>
        <w:rPr>
          <w:rFonts w:hint="eastAsia" w:asciiTheme="minorEastAsia" w:hAnsiTheme="minorEastAsia" w:eastAsiaTheme="minorEastAsia" w:cstheme="minorEastAsia"/>
          <w:b/>
          <w:bCs/>
          <w:sz w:val="28"/>
          <w:szCs w:val="28"/>
          <w:lang w:val="en-US" w:eastAsia="zh-CN"/>
        </w:rPr>
        <w:t>监测布点图</w:t>
      </w:r>
    </w:p>
    <w:p>
      <w:pPr>
        <w:pStyle w:val="2"/>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附图2 外环境关系图</w:t>
      </w:r>
    </w:p>
    <w:p>
      <w:pPr>
        <w:pStyle w:val="2"/>
        <w:ind w:left="0" w:leftChars="0" w:firstLine="0" w:firstLineChars="0"/>
        <w:rPr>
          <w:rFonts w:hint="eastAsia"/>
          <w:lang w:val="en-US" w:eastAsia="zh-CN"/>
        </w:rPr>
      </w:pPr>
      <w:r>
        <w:drawing>
          <wp:inline distT="0" distB="0" distL="114300" distR="114300">
            <wp:extent cx="8849360" cy="4922520"/>
            <wp:effectExtent l="0" t="0" r="8890" b="1143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1"/>
                    <a:stretch>
                      <a:fillRect/>
                    </a:stretch>
                  </pic:blipFill>
                  <pic:spPr>
                    <a:xfrm>
                      <a:off x="0" y="0"/>
                      <a:ext cx="8849360" cy="4922520"/>
                    </a:xfrm>
                    <a:prstGeom prst="rect">
                      <a:avLst/>
                    </a:prstGeom>
                    <a:noFill/>
                    <a:ln w="9525">
                      <a:noFill/>
                    </a:ln>
                  </pic:spPr>
                </pic:pic>
              </a:graphicData>
            </a:graphic>
          </wp:inline>
        </w:drawing>
      </w:r>
    </w:p>
    <w:p>
      <w:pPr>
        <w:pStyle w:val="2"/>
        <w:jc w:val="center"/>
        <w:rPr>
          <w:rFonts w:hint="eastAsia"/>
          <w:lang w:val="en-US" w:eastAsia="zh-CN"/>
        </w:rPr>
      </w:pPr>
      <w:r>
        <w:rPr>
          <w:rFonts w:hint="eastAsia" w:asciiTheme="minorEastAsia" w:hAnsiTheme="minorEastAsia" w:eastAsiaTheme="minorEastAsia" w:cstheme="minorEastAsia"/>
          <w:b/>
          <w:bCs/>
          <w:sz w:val="28"/>
          <w:szCs w:val="28"/>
          <w:lang w:val="en-US" w:eastAsia="zh-CN"/>
        </w:rPr>
        <w:t>外环境关系图</w:t>
      </w:r>
    </w:p>
    <w:p>
      <w:pPr>
        <w:pStyle w:val="2"/>
        <w:ind w:left="0" w:leftChars="0" w:firstLine="0" w:firstLineChars="0"/>
        <w:rPr>
          <w:rFonts w:hint="eastAsia"/>
          <w:lang w:val="en-US" w:eastAsia="zh-CN"/>
        </w:rPr>
        <w:sectPr>
          <w:pgSz w:w="16783" w:h="11850" w:orient="landscape"/>
          <w:pgMar w:top="1417" w:right="1417" w:bottom="1417" w:left="1417" w:header="851" w:footer="992" w:gutter="0"/>
          <w:pgNumType w:fmt="decimal"/>
          <w:cols w:space="0" w:num="1"/>
          <w:rtlGutter w:val="0"/>
          <w:docGrid w:type="lines" w:linePitch="450" w:charSpace="0"/>
        </w:sectPr>
      </w:pPr>
    </w:p>
    <w:p>
      <w:pPr>
        <w:pStyle w:val="2"/>
        <w:rPr>
          <w:rFonts w:hint="eastAsia"/>
          <w:lang w:val="en-US" w:eastAsia="zh-CN"/>
        </w:rPr>
      </w:pPr>
      <w:r>
        <w:rPr>
          <w:rFonts w:hint="eastAsia" w:asciiTheme="minorEastAsia" w:hAnsiTheme="minorEastAsia" w:eastAsiaTheme="minorEastAsia" w:cstheme="minorEastAsia"/>
          <w:b/>
          <w:bCs/>
          <w:sz w:val="28"/>
          <w:szCs w:val="28"/>
          <w:lang w:val="en-US" w:eastAsia="zh-CN"/>
        </w:rPr>
        <w:t>附图3 环保设施图</w:t>
      </w:r>
    </w:p>
    <w:tbl>
      <w:tblPr>
        <w:tblStyle w:val="17"/>
        <w:tblW w:w="9920" w:type="dxa"/>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8"/>
        <w:gridCol w:w="4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6" w:hRule="atLeast"/>
        </w:trPr>
        <w:tc>
          <w:tcPr>
            <w:tcW w:w="4948" w:type="dxa"/>
          </w:tcPr>
          <w:p>
            <w:pPr>
              <w:pStyle w:val="13"/>
              <w:widowControl w:val="0"/>
              <w:spacing w:before="0" w:beforeAutospacing="0" w:after="0" w:afterAutospacing="0" w:line="360" w:lineRule="auto"/>
              <w:jc w:val="center"/>
              <w:rPr>
                <w:rFonts w:hint="eastAsia"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drawing>
                <wp:inline distT="0" distB="0" distL="114300" distR="114300">
                  <wp:extent cx="2984500" cy="2984500"/>
                  <wp:effectExtent l="0" t="0" r="6350" b="6350"/>
                  <wp:docPr id="8" name="图片 8" descr="IMG_20180417_13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80417_134634"/>
                          <pic:cNvPicPr>
                            <a:picLocks noChangeAspect="1"/>
                          </pic:cNvPicPr>
                        </pic:nvPicPr>
                        <pic:blipFill>
                          <a:blip r:embed="rId22"/>
                          <a:stretch>
                            <a:fillRect/>
                          </a:stretch>
                        </pic:blipFill>
                        <pic:spPr>
                          <a:xfrm>
                            <a:off x="0" y="0"/>
                            <a:ext cx="2984500" cy="2984500"/>
                          </a:xfrm>
                          <a:prstGeom prst="rect">
                            <a:avLst/>
                          </a:prstGeom>
                        </pic:spPr>
                      </pic:pic>
                    </a:graphicData>
                  </a:graphic>
                </wp:inline>
              </w:drawing>
            </w:r>
          </w:p>
        </w:tc>
        <w:tc>
          <w:tcPr>
            <w:tcW w:w="4972" w:type="dxa"/>
          </w:tcPr>
          <w:p>
            <w:pPr>
              <w:pStyle w:val="13"/>
              <w:widowControl w:val="0"/>
              <w:spacing w:before="0" w:beforeAutospacing="0" w:after="0" w:afterAutospacing="0" w:line="360" w:lineRule="auto"/>
              <w:jc w:val="center"/>
              <w:rPr>
                <w:rFonts w:hint="eastAsia"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eastAsia="zh-CN"/>
              </w:rPr>
              <w:drawing>
                <wp:inline distT="0" distB="0" distL="114300" distR="114300">
                  <wp:extent cx="2984500" cy="2984500"/>
                  <wp:effectExtent l="0" t="0" r="6350" b="6350"/>
                  <wp:docPr id="7" name="图片 7" descr="IMG_20180417_13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80417_135214"/>
                          <pic:cNvPicPr>
                            <a:picLocks noChangeAspect="1"/>
                          </pic:cNvPicPr>
                        </pic:nvPicPr>
                        <pic:blipFill>
                          <a:blip r:embed="rId23"/>
                          <a:stretch>
                            <a:fillRect/>
                          </a:stretch>
                        </pic:blipFill>
                        <pic:spPr>
                          <a:xfrm>
                            <a:off x="0" y="0"/>
                            <a:ext cx="2984500" cy="2984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exact"/>
        </w:trPr>
        <w:tc>
          <w:tcPr>
            <w:tcW w:w="4948" w:type="dxa"/>
            <w:vAlign w:val="center"/>
          </w:tcPr>
          <w:p>
            <w:pPr>
              <w:pStyle w:val="13"/>
              <w:widowControl w:val="0"/>
              <w:spacing w:before="0" w:beforeAutospacing="0" w:after="0" w:afterAutospacing="0"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b/>
                <w:bCs/>
                <w:sz w:val="24"/>
                <w:szCs w:val="24"/>
                <w:lang w:eastAsia="zh-CN"/>
              </w:rPr>
              <w:t>油水分离池</w:t>
            </w:r>
          </w:p>
        </w:tc>
        <w:tc>
          <w:tcPr>
            <w:tcW w:w="4972" w:type="dxa"/>
            <w:vAlign w:val="center"/>
          </w:tcPr>
          <w:p>
            <w:pPr>
              <w:pStyle w:val="13"/>
              <w:widowControl w:val="0"/>
              <w:spacing w:before="0" w:beforeAutospacing="0" w:after="0" w:afterAutospacing="0"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b/>
                <w:bCs/>
                <w:sz w:val="24"/>
                <w:szCs w:val="24"/>
                <w:lang w:eastAsia="zh-CN"/>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4" w:hRule="exact"/>
        </w:trPr>
        <w:tc>
          <w:tcPr>
            <w:tcW w:w="4948" w:type="dxa"/>
            <w:vAlign w:val="center"/>
          </w:tcPr>
          <w:p>
            <w:pPr>
              <w:pStyle w:val="13"/>
              <w:widowControl w:val="0"/>
              <w:spacing w:before="0" w:beforeAutospacing="0" w:after="0" w:afterAutospacing="0" w:line="360" w:lineRule="auto"/>
              <w:jc w:val="cente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drawing>
                <wp:inline distT="0" distB="0" distL="114300" distR="114300">
                  <wp:extent cx="2984500" cy="2984500"/>
                  <wp:effectExtent l="0" t="0" r="6350" b="6350"/>
                  <wp:docPr id="6" name="图片 6" descr="IMG_20180417_13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80417_135326"/>
                          <pic:cNvPicPr>
                            <a:picLocks noChangeAspect="1"/>
                          </pic:cNvPicPr>
                        </pic:nvPicPr>
                        <pic:blipFill>
                          <a:blip r:embed="rId24"/>
                          <a:stretch>
                            <a:fillRect/>
                          </a:stretch>
                        </pic:blipFill>
                        <pic:spPr>
                          <a:xfrm>
                            <a:off x="0" y="0"/>
                            <a:ext cx="2984500" cy="2984500"/>
                          </a:xfrm>
                          <a:prstGeom prst="rect">
                            <a:avLst/>
                          </a:prstGeom>
                        </pic:spPr>
                      </pic:pic>
                    </a:graphicData>
                  </a:graphic>
                </wp:inline>
              </w:drawing>
            </w:r>
          </w:p>
        </w:tc>
        <w:tc>
          <w:tcPr>
            <w:tcW w:w="4972" w:type="dxa"/>
            <w:vAlign w:val="center"/>
          </w:tcPr>
          <w:p>
            <w:pPr>
              <w:pStyle w:val="13"/>
              <w:widowControl w:val="0"/>
              <w:spacing w:before="0" w:beforeAutospacing="0" w:after="0" w:afterAutospacing="0" w:line="360" w:lineRule="auto"/>
              <w:jc w:val="cente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drawing>
                <wp:inline distT="0" distB="0" distL="114300" distR="114300">
                  <wp:extent cx="2984500" cy="2984500"/>
                  <wp:effectExtent l="0" t="0" r="6350" b="6350"/>
                  <wp:docPr id="16" name="图片 16" descr="IMG_20180417_13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0417_131220"/>
                          <pic:cNvPicPr>
                            <a:picLocks noChangeAspect="1"/>
                          </pic:cNvPicPr>
                        </pic:nvPicPr>
                        <pic:blipFill>
                          <a:blip r:embed="rId25"/>
                          <a:stretch>
                            <a:fillRect/>
                          </a:stretch>
                        </pic:blipFill>
                        <pic:spPr>
                          <a:xfrm>
                            <a:off x="0" y="0"/>
                            <a:ext cx="2984500" cy="2984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exact"/>
        </w:trPr>
        <w:tc>
          <w:tcPr>
            <w:tcW w:w="4948" w:type="dxa"/>
            <w:vAlign w:val="center"/>
          </w:tcPr>
          <w:p>
            <w:pPr>
              <w:pStyle w:val="13"/>
              <w:widowControl w:val="0"/>
              <w:spacing w:before="0" w:beforeAutospacing="0" w:after="0" w:afterAutospacing="0" w:line="360" w:lineRule="auto"/>
              <w:jc w:val="cente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t>油气回收装置</w:t>
            </w:r>
          </w:p>
        </w:tc>
        <w:tc>
          <w:tcPr>
            <w:tcW w:w="4972" w:type="dxa"/>
            <w:vAlign w:val="center"/>
          </w:tcPr>
          <w:p>
            <w:pPr>
              <w:pStyle w:val="13"/>
              <w:widowControl w:val="0"/>
              <w:spacing w:before="0" w:beforeAutospacing="0" w:after="0" w:afterAutospacing="0" w:line="360" w:lineRule="auto"/>
              <w:jc w:val="center"/>
              <w:rPr>
                <w:rFonts w:hint="eastAsia" w:ascii="Times New Roman" w:hAnsi="Times New Roman" w:cs="Times New Roman" w:eastAsiaTheme="minorEastAsia"/>
                <w:b/>
                <w:bCs/>
                <w:sz w:val="24"/>
                <w:szCs w:val="24"/>
                <w:lang w:eastAsia="zh-CN"/>
              </w:rPr>
            </w:pPr>
            <w:r>
              <w:rPr>
                <w:rFonts w:hint="eastAsia" w:ascii="Times New Roman" w:hAnsi="Times New Roman" w:cs="Times New Roman" w:eastAsiaTheme="minorEastAsia"/>
                <w:b/>
                <w:bCs/>
                <w:sz w:val="24"/>
                <w:szCs w:val="24"/>
                <w:lang w:eastAsia="zh-CN"/>
              </w:rPr>
              <w:t>垃圾桶</w:t>
            </w:r>
          </w:p>
        </w:tc>
      </w:tr>
    </w:tbl>
    <w:p>
      <w:pPr>
        <w:pStyle w:val="2"/>
        <w:keepNext w:val="0"/>
        <w:keepLines w:val="0"/>
        <w:pageBreakBefore w:val="0"/>
        <w:widowControl w:val="0"/>
        <w:kinsoku/>
        <w:wordWrap/>
        <w:overflowPunct/>
        <w:topLinePunct w:val="0"/>
        <w:autoSpaceDE/>
        <w:autoSpaceDN/>
        <w:bidi w:val="0"/>
        <w:adjustRightInd w:val="0"/>
        <w:snapToGrid w:val="0"/>
        <w:spacing w:before="227" w:beforeLines="50" w:line="360" w:lineRule="auto"/>
        <w:ind w:left="0" w:leftChars="0" w:right="0" w:rightChars="0" w:firstLine="562" w:firstLineChars="200"/>
        <w:jc w:val="left"/>
        <w:textAlignment w:val="auto"/>
        <w:outlineLvl w:val="9"/>
        <w:rPr>
          <w:rFonts w:hint="eastAsia" w:asciiTheme="minorEastAsia" w:hAnsiTheme="minorEastAsia" w:eastAsiaTheme="minorEastAsia" w:cstheme="minorEastAsia"/>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before="227" w:beforeLines="50" w:line="360" w:lineRule="auto"/>
        <w:ind w:left="0" w:leftChars="0" w:right="0" w:rightChars="0" w:firstLine="562" w:firstLineChars="20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附图4 现场采样图</w:t>
      </w:r>
    </w:p>
    <w:tbl>
      <w:tblPr>
        <w:tblStyle w:val="17"/>
        <w:tblW w:w="9980"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5"/>
        <w:gridCol w:w="3250"/>
        <w:gridCol w:w="3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6" w:hRule="atLeast"/>
        </w:trPr>
        <w:tc>
          <w:tcPr>
            <w:tcW w:w="3275" w:type="dxa"/>
          </w:tcPr>
          <w:p>
            <w:pPr>
              <w:pStyle w:val="2"/>
              <w:keepNext w:val="0"/>
              <w:keepLines w:val="0"/>
              <w:pageBreakBefore w:val="0"/>
              <w:widowControl w:val="0"/>
              <w:kinsoku/>
              <w:wordWrap/>
              <w:overflowPunct/>
              <w:topLinePunct w:val="0"/>
              <w:autoSpaceDE/>
              <w:autoSpaceDN/>
              <w:bidi w:val="0"/>
              <w:adjustRightInd w:val="0"/>
              <w:snapToGrid w:val="0"/>
              <w:spacing w:before="227" w:beforeLines="5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b/>
                <w:bCs/>
                <w:sz w:val="28"/>
                <w:szCs w:val="28"/>
                <w:vertAlign w:val="baseline"/>
                <w:lang w:val="en-US" w:eastAsia="zh-CN"/>
              </w:rPr>
            </w:pPr>
            <w:r>
              <w:rPr>
                <w:rFonts w:hint="eastAsia" w:asciiTheme="minorEastAsia" w:hAnsiTheme="minorEastAsia" w:eastAsiaTheme="minorEastAsia" w:cstheme="minorEastAsia"/>
                <w:b/>
                <w:bCs/>
                <w:sz w:val="28"/>
                <w:szCs w:val="28"/>
                <w:vertAlign w:val="baseline"/>
                <w:lang w:val="en-US" w:eastAsia="zh-CN"/>
              </w:rPr>
              <w:drawing>
                <wp:inline distT="0" distB="0" distL="114300" distR="114300">
                  <wp:extent cx="1938020" cy="2829560"/>
                  <wp:effectExtent l="0" t="0" r="5080" b="8890"/>
                  <wp:docPr id="10" name="图片 10" descr="3a4365450dc44c2192aca99b26ec3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a4365450dc44c2192aca99b26ec3e8f"/>
                          <pic:cNvPicPr>
                            <a:picLocks noChangeAspect="1"/>
                          </pic:cNvPicPr>
                        </pic:nvPicPr>
                        <pic:blipFill>
                          <a:blip r:embed="rId26"/>
                          <a:srcRect b="17862"/>
                          <a:stretch>
                            <a:fillRect/>
                          </a:stretch>
                        </pic:blipFill>
                        <pic:spPr>
                          <a:xfrm>
                            <a:off x="0" y="0"/>
                            <a:ext cx="1938020" cy="2829560"/>
                          </a:xfrm>
                          <a:prstGeom prst="rect">
                            <a:avLst/>
                          </a:prstGeom>
                        </pic:spPr>
                      </pic:pic>
                    </a:graphicData>
                  </a:graphic>
                </wp:inline>
              </w:drawing>
            </w:r>
          </w:p>
        </w:tc>
        <w:tc>
          <w:tcPr>
            <w:tcW w:w="3250" w:type="dxa"/>
          </w:tcPr>
          <w:p>
            <w:pPr>
              <w:pStyle w:val="2"/>
              <w:keepNext w:val="0"/>
              <w:keepLines w:val="0"/>
              <w:pageBreakBefore w:val="0"/>
              <w:widowControl w:val="0"/>
              <w:kinsoku/>
              <w:wordWrap/>
              <w:overflowPunct/>
              <w:topLinePunct w:val="0"/>
              <w:autoSpaceDE/>
              <w:autoSpaceDN/>
              <w:bidi w:val="0"/>
              <w:adjustRightInd w:val="0"/>
              <w:snapToGrid w:val="0"/>
              <w:spacing w:before="227" w:beforeLines="5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b/>
                <w:bCs/>
                <w:sz w:val="28"/>
                <w:szCs w:val="28"/>
                <w:vertAlign w:val="baseline"/>
                <w:lang w:val="en-US" w:eastAsia="zh-CN"/>
              </w:rPr>
            </w:pPr>
            <w:r>
              <w:rPr>
                <w:rFonts w:hint="eastAsia" w:asciiTheme="minorEastAsia" w:hAnsiTheme="minorEastAsia" w:eastAsiaTheme="minorEastAsia" w:cstheme="minorEastAsia"/>
                <w:b/>
                <w:bCs/>
                <w:sz w:val="28"/>
                <w:szCs w:val="28"/>
                <w:vertAlign w:val="baseline"/>
                <w:lang w:val="en-US" w:eastAsia="zh-CN"/>
              </w:rPr>
              <w:drawing>
                <wp:inline distT="0" distB="0" distL="114300" distR="114300">
                  <wp:extent cx="1925320" cy="2782570"/>
                  <wp:effectExtent l="0" t="0" r="17780" b="17780"/>
                  <wp:docPr id="12" name="图片 12" descr="6e4a2623986344e493f430577b53f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e4a2623986344e493f430577b53f9d7"/>
                          <pic:cNvPicPr>
                            <a:picLocks noChangeAspect="1"/>
                          </pic:cNvPicPr>
                        </pic:nvPicPr>
                        <pic:blipFill>
                          <a:blip r:embed="rId27"/>
                          <a:srcRect b="18716"/>
                          <a:stretch>
                            <a:fillRect/>
                          </a:stretch>
                        </pic:blipFill>
                        <pic:spPr>
                          <a:xfrm>
                            <a:off x="0" y="0"/>
                            <a:ext cx="1925320" cy="2782570"/>
                          </a:xfrm>
                          <a:prstGeom prst="rect">
                            <a:avLst/>
                          </a:prstGeom>
                        </pic:spPr>
                      </pic:pic>
                    </a:graphicData>
                  </a:graphic>
                </wp:inline>
              </w:drawing>
            </w:r>
          </w:p>
        </w:tc>
        <w:tc>
          <w:tcPr>
            <w:tcW w:w="3455" w:type="dxa"/>
          </w:tcPr>
          <w:p>
            <w:pPr>
              <w:pStyle w:val="2"/>
              <w:keepNext w:val="0"/>
              <w:keepLines w:val="0"/>
              <w:pageBreakBefore w:val="0"/>
              <w:widowControl w:val="0"/>
              <w:kinsoku/>
              <w:wordWrap/>
              <w:overflowPunct/>
              <w:topLinePunct w:val="0"/>
              <w:autoSpaceDE/>
              <w:autoSpaceDN/>
              <w:bidi w:val="0"/>
              <w:adjustRightInd w:val="0"/>
              <w:snapToGrid w:val="0"/>
              <w:spacing w:before="227" w:beforeLines="5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b/>
                <w:bCs/>
                <w:sz w:val="28"/>
                <w:szCs w:val="28"/>
                <w:vertAlign w:val="baseline"/>
                <w:lang w:val="en-US" w:eastAsia="zh-CN"/>
              </w:rPr>
            </w:pPr>
            <w:r>
              <w:rPr>
                <w:rFonts w:hint="eastAsia" w:asciiTheme="minorEastAsia" w:hAnsiTheme="minorEastAsia" w:eastAsiaTheme="minorEastAsia" w:cstheme="minorEastAsia"/>
                <w:b/>
                <w:bCs/>
                <w:sz w:val="28"/>
                <w:szCs w:val="28"/>
                <w:vertAlign w:val="baseline"/>
                <w:lang w:val="en-US" w:eastAsia="zh-CN"/>
              </w:rPr>
              <w:drawing>
                <wp:inline distT="0" distB="0" distL="114300" distR="114300">
                  <wp:extent cx="2054860" cy="2762250"/>
                  <wp:effectExtent l="0" t="0" r="2540" b="0"/>
                  <wp:docPr id="14" name="图片 14" descr="d576c2d6a1e443a693867939f677f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576c2d6a1e443a693867939f677f7f1"/>
                          <pic:cNvPicPr>
                            <a:picLocks noChangeAspect="1"/>
                          </pic:cNvPicPr>
                        </pic:nvPicPr>
                        <pic:blipFill>
                          <a:blip r:embed="rId28"/>
                          <a:srcRect b="24400"/>
                          <a:stretch>
                            <a:fillRect/>
                          </a:stretch>
                        </pic:blipFill>
                        <pic:spPr>
                          <a:xfrm>
                            <a:off x="0" y="0"/>
                            <a:ext cx="2054860" cy="2762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9980" w:type="dxa"/>
            <w:gridSpan w:val="3"/>
          </w:tcPr>
          <w:p>
            <w:pPr>
              <w:pStyle w:val="2"/>
              <w:keepNext w:val="0"/>
              <w:keepLines w:val="0"/>
              <w:pageBreakBefore w:val="0"/>
              <w:widowControl w:val="0"/>
              <w:kinsoku/>
              <w:wordWrap/>
              <w:overflowPunct/>
              <w:topLinePunct w:val="0"/>
              <w:autoSpaceDE/>
              <w:autoSpaceDN/>
              <w:bidi w:val="0"/>
              <w:adjustRightInd w:val="0"/>
              <w:snapToGrid w:val="0"/>
              <w:spacing w:before="227" w:beforeLines="50" w:line="360" w:lineRule="auto"/>
              <w:ind w:left="0" w:leftChars="0" w:right="0" w:rightChars="0" w:firstLine="0" w:firstLineChars="0"/>
              <w:jc w:val="center"/>
              <w:textAlignment w:val="auto"/>
              <w:outlineLvl w:val="9"/>
            </w:pPr>
            <w:r>
              <w:rPr>
                <w:rFonts w:hint="eastAsia" w:asciiTheme="minorEastAsia" w:hAnsiTheme="minorEastAsia" w:eastAsiaTheme="minorEastAsia" w:cstheme="minorEastAsia"/>
                <w:b/>
                <w:bCs/>
                <w:sz w:val="24"/>
                <w:szCs w:val="24"/>
                <w:vertAlign w:val="baseline"/>
                <w:lang w:val="en-US" w:eastAsia="zh-CN"/>
              </w:rPr>
              <w:t>噪声测量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6" w:hRule="atLeast"/>
        </w:trPr>
        <w:tc>
          <w:tcPr>
            <w:tcW w:w="3275" w:type="dxa"/>
          </w:tcPr>
          <w:p>
            <w:pPr>
              <w:pStyle w:val="2"/>
              <w:keepNext w:val="0"/>
              <w:keepLines w:val="0"/>
              <w:pageBreakBefore w:val="0"/>
              <w:widowControl w:val="0"/>
              <w:kinsoku/>
              <w:wordWrap/>
              <w:overflowPunct/>
              <w:topLinePunct w:val="0"/>
              <w:autoSpaceDE/>
              <w:autoSpaceDN/>
              <w:bidi w:val="0"/>
              <w:adjustRightInd w:val="0"/>
              <w:snapToGrid w:val="0"/>
              <w:spacing w:before="227" w:beforeLines="50" w:line="360" w:lineRule="auto"/>
              <w:ind w:left="0" w:leftChars="0" w:right="0" w:rightChars="0" w:firstLine="0" w:firstLineChars="0"/>
              <w:jc w:val="left"/>
              <w:textAlignment w:val="auto"/>
              <w:outlineLvl w:val="9"/>
              <w:rPr>
                <w:rFonts w:hint="eastAsia" w:eastAsia="仿宋_GB2312"/>
                <w:lang w:eastAsia="zh-CN"/>
              </w:rPr>
            </w:pPr>
            <w:r>
              <w:rPr>
                <w:rFonts w:hint="eastAsia" w:eastAsia="仿宋_GB2312"/>
                <w:lang w:eastAsia="zh-CN"/>
              </w:rPr>
              <w:drawing>
                <wp:inline distT="0" distB="0" distL="114300" distR="114300">
                  <wp:extent cx="1925320" cy="2644140"/>
                  <wp:effectExtent l="0" t="0" r="17780" b="3810"/>
                  <wp:docPr id="9" name="图片 9" descr="4f593ab004b440e880b2035a1aa2f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f593ab004b440e880b2035a1aa2ffab"/>
                          <pic:cNvPicPr>
                            <a:picLocks noChangeAspect="1"/>
                          </pic:cNvPicPr>
                        </pic:nvPicPr>
                        <pic:blipFill>
                          <a:blip r:embed="rId29"/>
                          <a:srcRect b="22760"/>
                          <a:stretch>
                            <a:fillRect/>
                          </a:stretch>
                        </pic:blipFill>
                        <pic:spPr>
                          <a:xfrm>
                            <a:off x="0" y="0"/>
                            <a:ext cx="1925320" cy="2644140"/>
                          </a:xfrm>
                          <a:prstGeom prst="rect">
                            <a:avLst/>
                          </a:prstGeom>
                        </pic:spPr>
                      </pic:pic>
                    </a:graphicData>
                  </a:graphic>
                </wp:inline>
              </w:drawing>
            </w:r>
          </w:p>
        </w:tc>
        <w:tc>
          <w:tcPr>
            <w:tcW w:w="3250" w:type="dxa"/>
          </w:tcPr>
          <w:p>
            <w:pPr>
              <w:pStyle w:val="2"/>
              <w:keepNext w:val="0"/>
              <w:keepLines w:val="0"/>
              <w:pageBreakBefore w:val="0"/>
              <w:widowControl w:val="0"/>
              <w:kinsoku/>
              <w:wordWrap/>
              <w:overflowPunct/>
              <w:topLinePunct w:val="0"/>
              <w:autoSpaceDE/>
              <w:autoSpaceDN/>
              <w:bidi w:val="0"/>
              <w:adjustRightInd w:val="0"/>
              <w:snapToGrid w:val="0"/>
              <w:spacing w:before="227" w:beforeLines="50" w:line="360" w:lineRule="auto"/>
              <w:ind w:left="0" w:leftChars="0" w:right="0" w:rightChars="0" w:firstLine="0" w:firstLineChars="0"/>
              <w:jc w:val="left"/>
              <w:textAlignment w:val="auto"/>
              <w:outlineLvl w:val="9"/>
              <w:rPr>
                <w:rFonts w:hint="eastAsia" w:eastAsia="仿宋_GB2312"/>
                <w:lang w:eastAsia="zh-CN"/>
              </w:rPr>
            </w:pPr>
            <w:r>
              <w:rPr>
                <w:rFonts w:hint="eastAsia" w:eastAsia="仿宋_GB2312"/>
                <w:lang w:eastAsia="zh-CN"/>
              </w:rPr>
              <w:drawing>
                <wp:inline distT="0" distB="0" distL="114300" distR="114300">
                  <wp:extent cx="1908810" cy="2675890"/>
                  <wp:effectExtent l="0" t="0" r="15240" b="10160"/>
                  <wp:docPr id="17" name="图片 17" descr="lADPBbCc1b0Zk_HNEgDNCiA_2592_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ADPBbCc1b0Zk_HNEgDNCiA_2592_4608"/>
                          <pic:cNvPicPr>
                            <a:picLocks noChangeAspect="1"/>
                          </pic:cNvPicPr>
                        </pic:nvPicPr>
                        <pic:blipFill>
                          <a:blip r:embed="rId30"/>
                          <a:srcRect b="21160"/>
                          <a:stretch>
                            <a:fillRect/>
                          </a:stretch>
                        </pic:blipFill>
                        <pic:spPr>
                          <a:xfrm>
                            <a:off x="0" y="0"/>
                            <a:ext cx="1908810" cy="2675890"/>
                          </a:xfrm>
                          <a:prstGeom prst="rect">
                            <a:avLst/>
                          </a:prstGeom>
                        </pic:spPr>
                      </pic:pic>
                    </a:graphicData>
                  </a:graphic>
                </wp:inline>
              </w:drawing>
            </w:r>
          </w:p>
        </w:tc>
        <w:tc>
          <w:tcPr>
            <w:tcW w:w="3455" w:type="dxa"/>
          </w:tcPr>
          <w:p>
            <w:pPr>
              <w:pStyle w:val="2"/>
              <w:keepNext w:val="0"/>
              <w:keepLines w:val="0"/>
              <w:pageBreakBefore w:val="0"/>
              <w:widowControl w:val="0"/>
              <w:kinsoku/>
              <w:wordWrap/>
              <w:overflowPunct/>
              <w:topLinePunct w:val="0"/>
              <w:autoSpaceDE/>
              <w:autoSpaceDN/>
              <w:bidi w:val="0"/>
              <w:adjustRightInd w:val="0"/>
              <w:snapToGrid w:val="0"/>
              <w:spacing w:before="227" w:beforeLines="50" w:line="360" w:lineRule="auto"/>
              <w:ind w:left="0" w:leftChars="0" w:right="0" w:rightChars="0" w:firstLine="0" w:firstLineChars="0"/>
              <w:jc w:val="left"/>
              <w:textAlignment w:val="auto"/>
              <w:outlineLvl w:val="9"/>
              <w:rPr>
                <w:rFonts w:hint="eastAsia" w:eastAsia="仿宋_GB2312"/>
                <w:lang w:eastAsia="zh-CN"/>
              </w:rPr>
            </w:pPr>
            <w:r>
              <w:rPr>
                <w:rFonts w:hint="eastAsia" w:eastAsia="仿宋_GB2312"/>
                <w:lang w:eastAsia="zh-CN"/>
              </w:rPr>
              <w:drawing>
                <wp:inline distT="0" distB="0" distL="114300" distR="114300">
                  <wp:extent cx="2040890" cy="2701290"/>
                  <wp:effectExtent l="0" t="0" r="16510" b="3810"/>
                  <wp:docPr id="18" name="图片 18" descr="lADPBbCc1b0ZlBDNEgDNCiA_2592_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ADPBbCc1b0ZlBDNEgDNCiA_2592_4608"/>
                          <pic:cNvPicPr>
                            <a:picLocks noChangeAspect="1"/>
                          </pic:cNvPicPr>
                        </pic:nvPicPr>
                        <pic:blipFill>
                          <a:blip r:embed="rId31"/>
                          <a:srcRect t="11693" b="13846"/>
                          <a:stretch>
                            <a:fillRect/>
                          </a:stretch>
                        </pic:blipFill>
                        <pic:spPr>
                          <a:xfrm>
                            <a:off x="0" y="0"/>
                            <a:ext cx="2040890" cy="27012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3275" w:type="dxa"/>
            <w:vAlign w:val="center"/>
          </w:tcPr>
          <w:p>
            <w:pPr>
              <w:pStyle w:val="2"/>
              <w:keepNext w:val="0"/>
              <w:keepLines w:val="0"/>
              <w:pageBreakBefore w:val="0"/>
              <w:widowControl w:val="0"/>
              <w:kinsoku/>
              <w:wordWrap/>
              <w:overflowPunct/>
              <w:topLinePunct w:val="0"/>
              <w:autoSpaceDE/>
              <w:autoSpaceDN/>
              <w:bidi w:val="0"/>
              <w:adjustRightInd w:val="0"/>
              <w:snapToGrid w:val="0"/>
              <w:spacing w:before="227" w:beforeLines="50" w:line="240" w:lineRule="auto"/>
              <w:ind w:right="0" w:rightChars="0"/>
              <w:jc w:val="center"/>
              <w:textAlignment w:val="auto"/>
              <w:outlineLvl w:val="9"/>
              <w:rPr>
                <w:rFonts w:hint="eastAsia" w:asciiTheme="minorEastAsia" w:hAnsiTheme="minorEastAsia" w:eastAsiaTheme="minorEastAsia" w:cstheme="minorEastAsia"/>
                <w:b/>
                <w:bCs/>
                <w:sz w:val="28"/>
                <w:szCs w:val="28"/>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废水采样</w:t>
            </w:r>
          </w:p>
        </w:tc>
        <w:tc>
          <w:tcPr>
            <w:tcW w:w="6705" w:type="dxa"/>
            <w:gridSpan w:val="2"/>
            <w:vAlign w:val="center"/>
          </w:tcPr>
          <w:p>
            <w:pPr>
              <w:pStyle w:val="2"/>
              <w:keepNext w:val="0"/>
              <w:keepLines w:val="0"/>
              <w:pageBreakBefore w:val="0"/>
              <w:widowControl w:val="0"/>
              <w:kinsoku/>
              <w:wordWrap/>
              <w:overflowPunct/>
              <w:topLinePunct w:val="0"/>
              <w:autoSpaceDE/>
              <w:autoSpaceDN/>
              <w:bidi w:val="0"/>
              <w:adjustRightInd w:val="0"/>
              <w:snapToGrid w:val="0"/>
              <w:spacing w:before="227" w:beforeLines="50" w:line="240" w:lineRule="auto"/>
              <w:ind w:right="0" w:rightChars="0"/>
              <w:jc w:val="center"/>
              <w:textAlignment w:val="auto"/>
              <w:outlineLvl w:val="9"/>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无组织排放废气采样</w:t>
            </w:r>
          </w:p>
        </w:tc>
      </w:tr>
    </w:tbl>
    <w:p>
      <w:pPr>
        <w:tabs>
          <w:tab w:val="left" w:pos="2952"/>
        </w:tabs>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sz w:val="21"/>
        </w:rPr>
        <mc:AlternateContent>
          <mc:Choice Requires="wps">
            <w:drawing>
              <wp:anchor distT="0" distB="0" distL="114300" distR="114300" simplePos="0" relativeHeight="2289257472" behindDoc="0" locked="0" layoutInCell="1" allowOverlap="1">
                <wp:simplePos x="0" y="0"/>
                <wp:positionH relativeFrom="column">
                  <wp:posOffset>1974850</wp:posOffset>
                </wp:positionH>
                <wp:positionV relativeFrom="paragraph">
                  <wp:posOffset>6595745</wp:posOffset>
                </wp:positionV>
                <wp:extent cx="1670050" cy="389255"/>
                <wp:effectExtent l="0" t="0" r="6350" b="10795"/>
                <wp:wrapNone/>
                <wp:docPr id="40" name="文本框 40"/>
                <wp:cNvGraphicFramePr/>
                <a:graphic xmlns:a="http://schemas.openxmlformats.org/drawingml/2006/main">
                  <a:graphicData uri="http://schemas.microsoft.com/office/word/2010/wordprocessingShape">
                    <wps:wsp>
                      <wps:cNvSpPr txBox="1"/>
                      <wps:spPr>
                        <a:xfrm>
                          <a:off x="2987040" y="7616190"/>
                          <a:ext cx="1670050" cy="389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w:t>
                            </w:r>
                            <w:r>
                              <w:rPr>
                                <w:rFonts w:hint="eastAsia" w:ascii="宋体" w:hAnsi="宋体" w:eastAsia="宋体" w:cs="宋体"/>
                                <w:b/>
                                <w:bCs/>
                                <w:sz w:val="28"/>
                                <w:szCs w:val="28"/>
                                <w:lang w:eastAsia="zh-CN"/>
                              </w:rPr>
                              <w:t>报告结束</w:t>
                            </w:r>
                            <w:r>
                              <w:rPr>
                                <w:rFonts w:hint="eastAsia" w:ascii="宋体" w:hAnsi="宋体" w:eastAsia="宋体" w:cs="宋体"/>
                                <w:b/>
                                <w:bCs/>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pt;margin-top:519.35pt;height:30.65pt;width:131.5pt;z-index:-2005709824;mso-width-relative:page;mso-height-relative:page;" fillcolor="#FFFFFF [3201]" filled="t" stroked="f" coordsize="21600,21600" o:gfxdata="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79Huc1gAAAA0BAAAPAAAAAAAAAAEAIAAAACIAAABkcnMv&#10;ZG93bnJldi54bWxQSwECFAAUAAAACACHTuJAd6dZtj4CAABPBAAADgAAAAAAAAABACAAAAAlAQAA&#10;ZHJzL2Uyb0RvYy54bWxQSwUGAAAAAAYABgBZAQAA1QUAAAAA&#10;">
                <v:fill on="t" focussize="0,0"/>
                <v:stroke on="f" weight="0.5pt"/>
                <v:imagedata o:title=""/>
                <o:lock v:ext="edit" aspectratio="f"/>
                <v:textbox>
                  <w:txbxContent>
                    <w:p>
                      <w:pPr>
                        <w:jc w:val="center"/>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w:t>
                      </w:r>
                      <w:r>
                        <w:rPr>
                          <w:rFonts w:hint="eastAsia" w:ascii="宋体" w:hAnsi="宋体" w:eastAsia="宋体" w:cs="宋体"/>
                          <w:b/>
                          <w:bCs/>
                          <w:sz w:val="28"/>
                          <w:szCs w:val="28"/>
                          <w:lang w:eastAsia="zh-CN"/>
                        </w:rPr>
                        <w:t>报告结束</w:t>
                      </w:r>
                      <w:r>
                        <w:rPr>
                          <w:rFonts w:hint="eastAsia" w:ascii="宋体" w:hAnsi="宋体" w:eastAsia="宋体" w:cs="宋体"/>
                          <w:b/>
                          <w:bCs/>
                          <w:sz w:val="28"/>
                          <w:szCs w:val="28"/>
                          <w:lang w:val="en-US" w:eastAsia="zh-CN"/>
                        </w:rPr>
                        <w:t>**</w:t>
                      </w:r>
                    </w:p>
                  </w:txbxContent>
                </v:textbox>
              </v:shape>
            </w:pict>
          </mc:Fallback>
        </mc:AlternateContent>
      </w:r>
      <w:r>
        <w:rPr>
          <w:rFonts w:hint="eastAsia" w:asciiTheme="minorEastAsia" w:hAnsiTheme="minorEastAsia" w:eastAsiaTheme="minorEastAsia" w:cstheme="minorEastAsia"/>
          <w:b/>
          <w:bCs/>
          <w:sz w:val="21"/>
        </w:rPr>
        <mc:AlternateContent>
          <mc:Choice Requires="wps">
            <w:drawing>
              <wp:anchor distT="0" distB="0" distL="114300" distR="114300" simplePos="0" relativeHeight="2289253376" behindDoc="0" locked="0" layoutInCell="1" allowOverlap="1">
                <wp:simplePos x="0" y="0"/>
                <wp:positionH relativeFrom="column">
                  <wp:posOffset>4257675</wp:posOffset>
                </wp:positionH>
                <wp:positionV relativeFrom="paragraph">
                  <wp:posOffset>1851660</wp:posOffset>
                </wp:positionV>
                <wp:extent cx="416560" cy="508000"/>
                <wp:effectExtent l="0" t="0" r="2540" b="6350"/>
                <wp:wrapNone/>
                <wp:docPr id="45" name="文本框 45"/>
                <wp:cNvGraphicFramePr/>
                <a:graphic xmlns:a="http://schemas.openxmlformats.org/drawingml/2006/main">
                  <a:graphicData uri="http://schemas.microsoft.com/office/word/2010/wordprocessingShape">
                    <wps:wsp>
                      <wps:cNvSpPr txBox="1"/>
                      <wps:spPr>
                        <a:xfrm>
                          <a:off x="7216775" y="3512185"/>
                          <a:ext cx="416560" cy="508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5pt;margin-top:145.8pt;height:40pt;width:32.8pt;z-index:-2005713920;mso-width-relative:page;mso-height-relative:page;" fillcolor="#FFFFFF [3201]" filled="t" stroked="f" coordsize="21600,21600" o:gfxdata="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fmm/1gAAAAsBAAAPAAAAAAAAAAEAIAAAACIA&#10;AABkcnMvZG93bnJldi54bWxQSwECFAAUAAAACACHTuJAn2WE5UQCAABOBAAADgAAAAAAAAABACAA&#10;AAAlAQAAZHJzL2Uyb0RvYy54bWxQSwUGAAAAAAYABgBZAQAA2wUAAAAA&#10;">
                <v:fill on="t" focussize="0,0"/>
                <v:stroke on="f" weight="0.5pt"/>
                <v:imagedata o:title=""/>
                <o:lock v:ext="edit" aspectratio="f"/>
                <v:textbox>
                  <w:txbxContent>
                    <w:p/>
                  </w:txbxContent>
                </v:textbox>
              </v:shape>
            </w:pict>
          </mc:Fallback>
        </mc:AlternateContent>
      </w:r>
      <w:r>
        <w:rPr>
          <w:rFonts w:hint="eastAsia" w:asciiTheme="minorEastAsia" w:hAnsiTheme="minorEastAsia" w:eastAsiaTheme="minorEastAsia" w:cstheme="minorEastAsia"/>
          <w:b/>
          <w:bCs/>
          <w:sz w:val="21"/>
        </w:rPr>
        <mc:AlternateContent>
          <mc:Choice Requires="wps">
            <w:drawing>
              <wp:anchor distT="0" distB="0" distL="114300" distR="114300" simplePos="0" relativeHeight="2289248256" behindDoc="0" locked="0" layoutInCell="1" allowOverlap="1">
                <wp:simplePos x="0" y="0"/>
                <wp:positionH relativeFrom="column">
                  <wp:posOffset>7007860</wp:posOffset>
                </wp:positionH>
                <wp:positionV relativeFrom="paragraph">
                  <wp:posOffset>6795770</wp:posOffset>
                </wp:positionV>
                <wp:extent cx="75565" cy="83185"/>
                <wp:effectExtent l="12700" t="12700" r="26035" b="18415"/>
                <wp:wrapNone/>
                <wp:docPr id="99" name="等腰三角形 14"/>
                <wp:cNvGraphicFramePr/>
                <a:graphic xmlns:a="http://schemas.openxmlformats.org/drawingml/2006/main">
                  <a:graphicData uri="http://schemas.microsoft.com/office/word/2010/wordprocessingShape">
                    <wps:wsp>
                      <wps:cNvSpPr/>
                      <wps:spPr>
                        <a:xfrm>
                          <a:off x="2631440" y="5933440"/>
                          <a:ext cx="75565" cy="83185"/>
                        </a:xfrm>
                        <a:prstGeom prst="triangle">
                          <a:avLst/>
                        </a:prstGeom>
                        <a:solidFill>
                          <a:srgbClr val="4F81BD"/>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4" o:spid="_x0000_s1026" o:spt="5" type="#_x0000_t5" style="position:absolute;left:0pt;margin-left:551.8pt;margin-top:535.1pt;height:6.55pt;width:5.95pt;z-index:-2005719040;v-text-anchor:middle;mso-width-relative:page;mso-height-relative:page;" fillcolor="#4F81BD" filled="t" stroked="t" coordsize="21600,21600" o:gfxdata="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S4yA/cAAAADwEAAA8AAAAA&#10;AAAAAQAgAAAAIgAAAGRycy9kb3ducmV2LnhtbFBLAQIUABQAAAAIAIdO4kCUOm+MggIAANYEAAAO&#10;AAAAAAAAAAEAIAAAACsBAABkcnMvZTJvRG9jLnhtbFBLBQYAAAAABgAGAFkBAAAfBgAAAAA=&#10;" adj="10800">
                <v:fill on="t" focussize="0,0"/>
                <v:stroke weight="2pt" color="#264264" joinstyle="round"/>
                <v:imagedata o:title=""/>
                <o:lock v:ext="edit" aspectratio="f"/>
              </v:shape>
            </w:pict>
          </mc:Fallback>
        </mc:AlternateContent>
      </w:r>
      <w:r>
        <w:rPr>
          <w:rFonts w:hint="eastAsia" w:asciiTheme="minorEastAsia" w:hAnsiTheme="minorEastAsia" w:eastAsiaTheme="minorEastAsia" w:cstheme="minorEastAsia"/>
          <w:b/>
          <w:bCs/>
          <w:sz w:val="21"/>
        </w:rPr>
        <mc:AlternateContent>
          <mc:Choice Requires="wps">
            <w:drawing>
              <wp:anchor distT="0" distB="0" distL="114300" distR="114300" simplePos="0" relativeHeight="2289229824" behindDoc="0" locked="0" layoutInCell="1" allowOverlap="1">
                <wp:simplePos x="0" y="0"/>
                <wp:positionH relativeFrom="column">
                  <wp:posOffset>7008495</wp:posOffset>
                </wp:positionH>
                <wp:positionV relativeFrom="paragraph">
                  <wp:posOffset>6627495</wp:posOffset>
                </wp:positionV>
                <wp:extent cx="76200" cy="76200"/>
                <wp:effectExtent l="12700" t="12700" r="25400" b="25400"/>
                <wp:wrapNone/>
                <wp:docPr id="98" name="椭圆 12"/>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4F81BD"/>
                        </a:solidFill>
                        <a:ln w="25400" cap="flat" cmpd="sng">
                          <a:solidFill>
                            <a:srgbClr val="1F497D"/>
                          </a:solidFill>
                          <a:prstDash val="solid"/>
                          <a:round/>
                          <a:headEnd type="none" w="med" len="med"/>
                          <a:tailEnd type="none" w="med" len="med"/>
                        </a:ln>
                      </wps:spPr>
                      <wps:bodyPr anchor="ctr" upright="1"/>
                    </wps:wsp>
                  </a:graphicData>
                </a:graphic>
              </wp:anchor>
            </w:drawing>
          </mc:Choice>
          <mc:Fallback>
            <w:pict>
              <v:shape id="椭圆 12" o:spid="_x0000_s1026" o:spt="3" type="#_x0000_t3" style="position:absolute;left:0pt;margin-left:551.85pt;margin-top:521.85pt;height:6pt;width:6pt;z-index:-2005737472;v-text-anchor:middle;mso-width-relative:page;mso-height-relative:page;" fillcolor="#4F81BD" filled="t" stroked="t" coordsize="21600,21600" o:gfxdata="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stgLTYAAAADwEAAA8AAAAAAAAAAQAgAAAAIgAAAGRycy9kb3ducmV2LnhtbFBLAQIUABQAAAAI&#10;AIdO4kCxkkTW7QEAAOADAAAOAAAAAAAAAAEAIAAAACcBAABkcnMvZTJvRG9jLnhtbFBLBQYAAAAA&#10;BgAGAFkBAACGBQAAAAA=&#10;">
                <v:fill on="t" focussize="0,0"/>
                <v:stroke weight="2pt" color="#1F497D" joinstyle="round"/>
                <v:imagedata o:title=""/>
                <o:lock v:ext="edit" aspectratio="f"/>
              </v:shape>
            </w:pict>
          </mc:Fallback>
        </mc:AlternateContent>
      </w:r>
      <w:r>
        <w:rPr>
          <w:rFonts w:hint="eastAsia" w:asciiTheme="minorEastAsia" w:hAnsiTheme="minorEastAsia" w:eastAsiaTheme="minorEastAsia" w:cstheme="minorEastAsia"/>
          <w:b/>
          <w:bCs/>
          <w:lang w:val="en-US" w:eastAsia="zh-CN"/>
        </w:rPr>
        <w:t>**报告结束**</w:t>
      </w:r>
    </w:p>
    <w:sectPr>
      <w:pgSz w:w="11850" w:h="16783"/>
      <w:pgMar w:top="1417" w:right="1417" w:bottom="1417" w:left="1417" w:header="851" w:footer="992" w:gutter="0"/>
      <w:pgNumType w:fmt="decimal"/>
      <w:cols w:space="0" w:num="1"/>
      <w:rtlGutter w:val="0"/>
      <w:docGrid w:type="lines" w:linePitch="4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5"/>
      </w:rPr>
    </w:pPr>
    <w:r>
      <w:rPr>
        <w:lang w:val="zh-CN" w:eastAsia="zh-CN"/>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542280" cy="4801870"/>
          <wp:effectExtent l="0" t="0" r="1270" b="17780"/>
          <wp:wrapNone/>
          <wp:docPr id="11" name="WordPictureWatermark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 descr="图片2"/>
                  <pic:cNvPicPr>
                    <a:picLocks noChangeAspect="1"/>
                  </pic:cNvPicPr>
                </pic:nvPicPr>
                <pic:blipFill>
                  <a:blip r:embed="rId1"/>
                  <a:stretch>
                    <a:fillRect/>
                  </a:stretch>
                </pic:blipFill>
                <pic:spPr>
                  <a:xfrm>
                    <a:off x="0" y="0"/>
                    <a:ext cx="5542280" cy="4801870"/>
                  </a:xfrm>
                  <a:prstGeom prst="rect">
                    <a:avLst/>
                  </a:prstGeom>
                  <a:noFill/>
                  <a:ln w="9525">
                    <a:noFill/>
                    <a:miter/>
                  </a:ln>
                </pic:spPr>
              </pic:pic>
            </a:graphicData>
          </a:graphic>
        </wp:anchor>
      </w:drawing>
    </w:r>
    <w:r>
      <w:fldChar w:fldCharType="begin"/>
    </w:r>
    <w:r>
      <w:rPr>
        <w:rStyle w:val="15"/>
      </w:rPr>
      <w:instrText xml:space="preserve">PAGE  </w:instrText>
    </w:r>
    <w:r>
      <w:fldChar w:fldCharType="separate"/>
    </w:r>
    <w:r>
      <w:fldChar w:fldCharType="end"/>
    </w:r>
  </w:p>
  <w:p>
    <w:pPr>
      <w:pStyle w:val="1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239"/>
        <w:tab w:val="clear" w:pos="4153"/>
      </w:tabs>
      <w:rPr>
        <w:rFonts w:hint="eastAsia"/>
      </w:rPr>
    </w:pPr>
    <w:r>
      <w:rPr>
        <w:sz w:val="20"/>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14935" cy="131445"/>
              <wp:effectExtent l="0" t="0" r="0" b="0"/>
              <wp:wrapNone/>
              <wp:docPr id="13" name="文本框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miter/>
                      </a:ln>
                    </wps:spPr>
                    <wps:txbx>
                      <w:txbxContent>
                        <w:p>
                          <w:pPr>
                            <w:snapToGrid w:val="0"/>
                            <w:rPr>
                              <w:rFonts w:hint="eastAsia"/>
                              <w:sz w:val="18"/>
                            </w:rPr>
                          </w:pPr>
                        </w:p>
                      </w:txbxContent>
                    </wps:txbx>
                    <wps:bodyPr wrap="none" lIns="0" tIns="0" rIns="0" bIns="0" upright="0">
                      <a:spAutoFit/>
                    </wps:bodyPr>
                  </wps:wsp>
                </a:graphicData>
              </a:graphic>
            </wp:anchor>
          </w:drawing>
        </mc:Choice>
        <mc:Fallback>
          <w:pict>
            <v:shape id="文本框6" o:spid="_x0000_s1026" o:spt="202" type="#_x0000_t202" style="position:absolute;left:0pt;margin-top:0pt;height:10.35pt;width:9.05pt;mso-position-horizontal:right;mso-position-horizontal-relative:margin;mso-wrap-style:none;z-index:25166848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V+SdAAAAADAQAADwAAAAAAAAABACAAAAAiAAAAZHJzL2Rvd25yZXYueG1sUEsBAhQAFAAA&#10;AAgAh07iQItlpwC+AQAAXAMAAA4AAAAAAAAAAQAgAAAAHwEAAGRycy9lMm9Eb2MueG1sUEsFBgAA&#10;AAAGAAYAWQEAAE8FAAAAAA==&#10;">
              <v:fill on="f" focussize="0,0"/>
              <v:stroke on="f" joinstyle="miter"/>
              <v:imagedata o:title=""/>
              <o:lock v:ext="edit" aspectratio="f"/>
              <v:textbox inset="0mm,0mm,0mm,0mm" style="mso-fit-shape-to-text:t;">
                <w:txbxContent>
                  <w:p>
                    <w:pPr>
                      <w:snapToGrid w:val="0"/>
                      <w:rPr>
                        <w:rFonts w:hint="eastAsia"/>
                        <w:sz w:val="18"/>
                      </w:rPr>
                    </w:pPr>
                  </w:p>
                </w:txbxContent>
              </v:textbox>
            </v:shape>
          </w:pict>
        </mc:Fallback>
      </mc:AlternateContent>
    </w: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w:rPr>
        <w:rFonts w:hint="default" w:ascii="Times New Roman" w:hAnsi="Times New Roman" w:cs="Times New Roman"/>
        <w:sz w:val="32"/>
      </w:rPr>
      <w:drawing>
        <wp:anchor distT="0" distB="0" distL="114300" distR="114300" simplePos="0" relativeHeight="251670528" behindDoc="1" locked="0" layoutInCell="1" allowOverlap="1">
          <wp:simplePos x="0" y="0"/>
          <wp:positionH relativeFrom="margin">
            <wp:posOffset>-802005</wp:posOffset>
          </wp:positionH>
          <wp:positionV relativeFrom="margin">
            <wp:posOffset>-633095</wp:posOffset>
          </wp:positionV>
          <wp:extent cx="1080135" cy="935990"/>
          <wp:effectExtent l="0" t="0" r="5715" b="16510"/>
          <wp:wrapNone/>
          <wp:docPr id="2" name="WordPictureWatermark3" descr="图片2"/>
          <wp:cNvGraphicFramePr/>
          <a:graphic xmlns:a="http://schemas.openxmlformats.org/drawingml/2006/main">
            <a:graphicData uri="http://schemas.openxmlformats.org/drawingml/2006/picture">
              <pic:pic xmlns:pic="http://schemas.openxmlformats.org/drawingml/2006/picture">
                <pic:nvPicPr>
                  <pic:cNvPr id="2" name="WordPictureWatermark3" descr="图片2"/>
                  <pic:cNvPicPr/>
                </pic:nvPicPr>
                <pic:blipFill>
                  <a:blip r:embed="rId1"/>
                  <a:stretch>
                    <a:fillRect/>
                  </a:stretch>
                </pic:blipFill>
                <pic:spPr>
                  <a:xfrm>
                    <a:off x="0" y="0"/>
                    <a:ext cx="1080135" cy="935990"/>
                  </a:xfrm>
                  <a:prstGeom prst="rect">
                    <a:avLst/>
                  </a:prstGeom>
                  <a:noFill/>
                  <a:ln w="9525">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Theme="minorEastAsia" w:hAnsiTheme="minorEastAsia" w:eastAsiaTheme="minorEastAsia" w:cstheme="minorEastAsia"/>
      </w:rPr>
    </w:pPr>
    <w:r>
      <w:rPr>
        <w:sz w:val="18"/>
      </w:rPr>
      <mc:AlternateContent>
        <mc:Choice Requires="wps">
          <w:drawing>
            <wp:anchor distT="0" distB="0" distL="114300" distR="114300" simplePos="0" relativeHeight="251669504" behindDoc="0" locked="0" layoutInCell="1" allowOverlap="1">
              <wp:simplePos x="0" y="0"/>
              <wp:positionH relativeFrom="margin">
                <wp:posOffset>4743450</wp:posOffset>
              </wp:positionH>
              <wp:positionV relativeFrom="paragraph">
                <wp:posOffset>0</wp:posOffset>
              </wp:positionV>
              <wp:extent cx="98044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804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13</w:t>
                          </w:r>
                          <w:r>
                            <w:rPr>
                              <w:rFonts w:hint="eastAsia"/>
                              <w:lang w:eastAsia="zh-CN"/>
                            </w:rPr>
                            <w:t xml:space="preserve"> 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3.5pt;margin-top:0pt;height:144pt;width:77.2pt;mso-position-horizontal-relative:margin;z-index:251669504;mso-width-relative:page;mso-height-relative:page;" filled="f" stroked="f" coordsize="21600,21600" o:gfxdata="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2h8eNgAAAAI&#10;AQAADwAAAAAAAAABACAAAAAiAAAAZHJzL2Rvd25yZXYueG1sUEsBAhQAFAAAAAgAh07iQC9RpmEc&#10;AgAAFgQAAA4AAAAAAAAAAQAgAAAAJwEAAGRycy9lMm9Eb2MueG1sUEsFBgAAAAAGAAYAWQEAALUF&#10;AAAAAA==&#10;">
              <v:fill on="f" focussize="0,0"/>
              <v:stroke on="f" weight="0.5pt"/>
              <v:imagedata o:title=""/>
              <o:lock v:ext="edit" aspectratio="f"/>
              <v:textbox inset="0mm,0mm,0mm,0mm" style="mso-fit-shape-to-text:t;">
                <w:txbxContent>
                  <w:p>
                    <w:pPr>
                      <w:pStyle w:val="10"/>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13</w:t>
                    </w:r>
                    <w:r>
                      <w:rPr>
                        <w:rFonts w:hint="eastAsia"/>
                        <w:lang w:eastAsia="zh-CN"/>
                      </w:rPr>
                      <w:t xml:space="preserve"> 页</w:t>
                    </w:r>
                  </w:p>
                </w:txbxContent>
              </v:textbox>
            </v:shape>
          </w:pict>
        </mc:Fallback>
      </mc:AlternateContent>
    </w:r>
    <w:r>
      <w:rPr>
        <w:rFonts w:hint="eastAsia" w:asciiTheme="minorEastAsia" w:hAnsiTheme="minorEastAsia" w:eastAsiaTheme="minorEastAsia" w:cstheme="minorEastAsia"/>
        <w:sz w:val="18"/>
        <w:szCs w:val="18"/>
        <w:u w:val="single"/>
      </w:rPr>
      <w:t>洪鑫—</w:t>
    </w:r>
    <w:r>
      <w:rPr>
        <w:rFonts w:hint="eastAsia" w:asciiTheme="minorEastAsia" w:hAnsiTheme="minorEastAsia" w:eastAsiaTheme="minorEastAsia" w:cstheme="minorEastAsia"/>
        <w:sz w:val="18"/>
        <w:szCs w:val="18"/>
        <w:u w:val="single"/>
        <w:lang w:eastAsia="zh-CN"/>
      </w:rPr>
      <w:t xml:space="preserve">HXJC[2018]第273号 </w:t>
    </w:r>
    <w:r>
      <w:rPr>
        <w:rFonts w:hint="eastAsia" w:asciiTheme="minorEastAsia" w:hAnsiTheme="minorEastAsia" w:eastAsiaTheme="minorEastAsia" w:cstheme="minorEastAsia"/>
        <w:sz w:val="18"/>
        <w:szCs w:val="18"/>
        <w:u w:val="single"/>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Theme="minorEastAsia" w:hAnsiTheme="minorEastAsia" w:eastAsia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40503B"/>
    <w:multiLevelType w:val="singleLevel"/>
    <w:tmpl w:val="DE40503B"/>
    <w:lvl w:ilvl="0" w:tentative="0">
      <w:start w:val="1"/>
      <w:numFmt w:val="decimal"/>
      <w:suff w:val="nothing"/>
      <w:lvlText w:val="（%1）"/>
      <w:lvlJc w:val="left"/>
    </w:lvl>
  </w:abstractNum>
  <w:abstractNum w:abstractNumId="1">
    <w:nsid w:val="F2939F4D"/>
    <w:multiLevelType w:val="singleLevel"/>
    <w:tmpl w:val="F2939F4D"/>
    <w:lvl w:ilvl="0" w:tentative="0">
      <w:start w:val="1"/>
      <w:numFmt w:val="decimal"/>
      <w:suff w:val="nothing"/>
      <w:lvlText w:val="%1、"/>
      <w:lvlJc w:val="left"/>
    </w:lvl>
  </w:abstractNum>
  <w:abstractNum w:abstractNumId="2">
    <w:nsid w:val="4B2EA80A"/>
    <w:multiLevelType w:val="singleLevel"/>
    <w:tmpl w:val="4B2EA80A"/>
    <w:lvl w:ilvl="0" w:tentative="0">
      <w:start w:val="2"/>
      <w:numFmt w:val="decimal"/>
      <w:suff w:val="nothing"/>
      <w:lvlText w:val="%1、"/>
      <w:lvlJc w:val="left"/>
    </w:lvl>
  </w:abstractNum>
  <w:abstractNum w:abstractNumId="3">
    <w:nsid w:val="59BB5333"/>
    <w:multiLevelType w:val="singleLevel"/>
    <w:tmpl w:val="59BB5333"/>
    <w:lvl w:ilvl="0" w:tentative="0">
      <w:start w:val="2"/>
      <w:numFmt w:val="decimal"/>
      <w:suff w:val="nothing"/>
      <w:lvlText w:val="%1、"/>
      <w:lvlJc w:val="left"/>
    </w:lvl>
  </w:abstractNum>
  <w:abstractNum w:abstractNumId="4">
    <w:nsid w:val="59BE70ED"/>
    <w:multiLevelType w:val="singleLevel"/>
    <w:tmpl w:val="59BE70ED"/>
    <w:lvl w:ilvl="0" w:tentative="0">
      <w:start w:val="2"/>
      <w:numFmt w:val="chineseCounting"/>
      <w:suff w:val="nothing"/>
      <w:lvlText w:val="（%1)"/>
      <w:lvlJc w:val="left"/>
    </w:lvl>
  </w:abstractNum>
  <w:abstractNum w:abstractNumId="5">
    <w:nsid w:val="5A5345F0"/>
    <w:multiLevelType w:val="singleLevel"/>
    <w:tmpl w:val="5A5345F0"/>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22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F0B"/>
    <w:rsid w:val="006521AC"/>
    <w:rsid w:val="00B959E7"/>
    <w:rsid w:val="010A1CE2"/>
    <w:rsid w:val="0119515E"/>
    <w:rsid w:val="0133253B"/>
    <w:rsid w:val="014F1811"/>
    <w:rsid w:val="0154036D"/>
    <w:rsid w:val="03CB2396"/>
    <w:rsid w:val="03CC78EC"/>
    <w:rsid w:val="047D546F"/>
    <w:rsid w:val="05C85DCC"/>
    <w:rsid w:val="075F4BAD"/>
    <w:rsid w:val="083A7A83"/>
    <w:rsid w:val="08BF427B"/>
    <w:rsid w:val="08D463D1"/>
    <w:rsid w:val="0B5C418C"/>
    <w:rsid w:val="0E042D88"/>
    <w:rsid w:val="0F43365C"/>
    <w:rsid w:val="0FD54BAF"/>
    <w:rsid w:val="10E65B2F"/>
    <w:rsid w:val="113B19D8"/>
    <w:rsid w:val="113E71A9"/>
    <w:rsid w:val="11631D70"/>
    <w:rsid w:val="129E41FA"/>
    <w:rsid w:val="13022337"/>
    <w:rsid w:val="140B7590"/>
    <w:rsid w:val="14C52832"/>
    <w:rsid w:val="14CB4074"/>
    <w:rsid w:val="152A072E"/>
    <w:rsid w:val="16397A05"/>
    <w:rsid w:val="166822A4"/>
    <w:rsid w:val="17386D93"/>
    <w:rsid w:val="17BB1FE8"/>
    <w:rsid w:val="18DD57C9"/>
    <w:rsid w:val="1AF03807"/>
    <w:rsid w:val="1B164603"/>
    <w:rsid w:val="1B850EE0"/>
    <w:rsid w:val="1CC52B8B"/>
    <w:rsid w:val="1D381F5F"/>
    <w:rsid w:val="1E325DAC"/>
    <w:rsid w:val="1E44022B"/>
    <w:rsid w:val="1F350592"/>
    <w:rsid w:val="206F65CF"/>
    <w:rsid w:val="20FA7D90"/>
    <w:rsid w:val="22CD02CF"/>
    <w:rsid w:val="22D40AA5"/>
    <w:rsid w:val="230649A4"/>
    <w:rsid w:val="252C34E8"/>
    <w:rsid w:val="268C0EAA"/>
    <w:rsid w:val="26FB470D"/>
    <w:rsid w:val="27923539"/>
    <w:rsid w:val="285B3DD5"/>
    <w:rsid w:val="28BE0898"/>
    <w:rsid w:val="293443D2"/>
    <w:rsid w:val="2A3517CC"/>
    <w:rsid w:val="2AC35612"/>
    <w:rsid w:val="2C9B7916"/>
    <w:rsid w:val="2D12253B"/>
    <w:rsid w:val="2E402CE5"/>
    <w:rsid w:val="2E601B5A"/>
    <w:rsid w:val="2EEC5CE3"/>
    <w:rsid w:val="30822DFF"/>
    <w:rsid w:val="31684603"/>
    <w:rsid w:val="31797FF0"/>
    <w:rsid w:val="33615275"/>
    <w:rsid w:val="356A58F5"/>
    <w:rsid w:val="35A266AD"/>
    <w:rsid w:val="35AC4A85"/>
    <w:rsid w:val="36023171"/>
    <w:rsid w:val="367D3CB4"/>
    <w:rsid w:val="36C24DEB"/>
    <w:rsid w:val="370C1F38"/>
    <w:rsid w:val="371F0BB3"/>
    <w:rsid w:val="374620B3"/>
    <w:rsid w:val="37B61FB1"/>
    <w:rsid w:val="37C64B08"/>
    <w:rsid w:val="38162F5F"/>
    <w:rsid w:val="38CA4707"/>
    <w:rsid w:val="39D5306D"/>
    <w:rsid w:val="3A05369A"/>
    <w:rsid w:val="3A2B47EC"/>
    <w:rsid w:val="3A8452DD"/>
    <w:rsid w:val="3B233174"/>
    <w:rsid w:val="3C6A0541"/>
    <w:rsid w:val="3CCE736E"/>
    <w:rsid w:val="3D763C3A"/>
    <w:rsid w:val="3D857FD3"/>
    <w:rsid w:val="3E9F105A"/>
    <w:rsid w:val="3ED56B09"/>
    <w:rsid w:val="3F2F6370"/>
    <w:rsid w:val="3FBF4DF5"/>
    <w:rsid w:val="3FC91544"/>
    <w:rsid w:val="3FF34216"/>
    <w:rsid w:val="40140BAC"/>
    <w:rsid w:val="4017243E"/>
    <w:rsid w:val="42031146"/>
    <w:rsid w:val="4788691D"/>
    <w:rsid w:val="47D33EAA"/>
    <w:rsid w:val="48465ECA"/>
    <w:rsid w:val="48FA6A6A"/>
    <w:rsid w:val="49E02EC5"/>
    <w:rsid w:val="4B5153C2"/>
    <w:rsid w:val="4BAD04DC"/>
    <w:rsid w:val="4C6D5DEB"/>
    <w:rsid w:val="4C8056D9"/>
    <w:rsid w:val="4E3208C5"/>
    <w:rsid w:val="4ECD59EF"/>
    <w:rsid w:val="4F30363D"/>
    <w:rsid w:val="4F7D0FB6"/>
    <w:rsid w:val="50351553"/>
    <w:rsid w:val="506D2957"/>
    <w:rsid w:val="56C50447"/>
    <w:rsid w:val="56ED50C8"/>
    <w:rsid w:val="58C626BD"/>
    <w:rsid w:val="58E91DA9"/>
    <w:rsid w:val="59D45364"/>
    <w:rsid w:val="59F24119"/>
    <w:rsid w:val="5ABA7D6F"/>
    <w:rsid w:val="5C1519ED"/>
    <w:rsid w:val="5DCD1CDD"/>
    <w:rsid w:val="5E042EBD"/>
    <w:rsid w:val="60653F78"/>
    <w:rsid w:val="60C95071"/>
    <w:rsid w:val="613F21CA"/>
    <w:rsid w:val="61432FA7"/>
    <w:rsid w:val="61FF49F5"/>
    <w:rsid w:val="62716076"/>
    <w:rsid w:val="62E24E81"/>
    <w:rsid w:val="65104DA4"/>
    <w:rsid w:val="65661774"/>
    <w:rsid w:val="66DA273F"/>
    <w:rsid w:val="672C085D"/>
    <w:rsid w:val="67507534"/>
    <w:rsid w:val="67550588"/>
    <w:rsid w:val="67C108E4"/>
    <w:rsid w:val="690F47EC"/>
    <w:rsid w:val="69D2324A"/>
    <w:rsid w:val="6ABD796B"/>
    <w:rsid w:val="6BAF26EF"/>
    <w:rsid w:val="6BB260DE"/>
    <w:rsid w:val="6BCF113A"/>
    <w:rsid w:val="6CA51A46"/>
    <w:rsid w:val="6CDD024F"/>
    <w:rsid w:val="6D163065"/>
    <w:rsid w:val="6D8204CA"/>
    <w:rsid w:val="6DA6670C"/>
    <w:rsid w:val="6E212988"/>
    <w:rsid w:val="6E53575C"/>
    <w:rsid w:val="6F2812EE"/>
    <w:rsid w:val="6F9B7C99"/>
    <w:rsid w:val="6FA12581"/>
    <w:rsid w:val="6FC222AC"/>
    <w:rsid w:val="70C90798"/>
    <w:rsid w:val="70E30F7A"/>
    <w:rsid w:val="7132662E"/>
    <w:rsid w:val="71CE11BE"/>
    <w:rsid w:val="71E6666B"/>
    <w:rsid w:val="72DD5D6B"/>
    <w:rsid w:val="74796694"/>
    <w:rsid w:val="76726AC6"/>
    <w:rsid w:val="768426D7"/>
    <w:rsid w:val="77D4114D"/>
    <w:rsid w:val="77DF010C"/>
    <w:rsid w:val="78F02D01"/>
    <w:rsid w:val="7A0168E4"/>
    <w:rsid w:val="7A461904"/>
    <w:rsid w:val="7AF235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asciiTheme="minorHAnsi" w:hAnsiTheme="minorHAnsi" w:cstheme="minorBidi"/>
      <w:kern w:val="2"/>
      <w:sz w:val="32"/>
      <w:szCs w:val="32"/>
      <w:lang w:val="en-US" w:eastAsia="zh-CN" w:bidi="ar-SA"/>
    </w:rPr>
  </w:style>
  <w:style w:type="paragraph" w:styleId="3">
    <w:name w:val="heading 1"/>
    <w:basedOn w:val="1"/>
    <w:next w:val="1"/>
    <w:qFormat/>
    <w:uiPriority w:val="0"/>
    <w:pPr>
      <w:keepNext/>
      <w:keepLines/>
      <w:spacing w:before="50" w:beforeLines="50" w:beforeAutospacing="0" w:after="50" w:afterLines="50" w:afterAutospacing="0" w:line="360" w:lineRule="auto"/>
      <w:ind w:firstLine="1446" w:firstLineChars="200"/>
      <w:outlineLvl w:val="0"/>
    </w:pPr>
    <w:rPr>
      <w:rFonts w:eastAsia="宋体" w:asciiTheme="minorAscii" w:hAnsiTheme="minorAscii"/>
      <w:b/>
      <w:kern w:val="44"/>
      <w:sz w:val="28"/>
    </w:rPr>
  </w:style>
  <w:style w:type="paragraph" w:styleId="4">
    <w:name w:val="heading 2"/>
    <w:basedOn w:val="1"/>
    <w:next w:val="1"/>
    <w:link w:val="24"/>
    <w:unhideWhenUsed/>
    <w:qFormat/>
    <w:uiPriority w:val="0"/>
    <w:pPr>
      <w:keepNext/>
      <w:keepLines/>
      <w:spacing w:before="50" w:beforeLines="50" w:beforeAutospacing="0" w:after="50" w:afterLines="50" w:afterAutospacing="0" w:line="360" w:lineRule="auto"/>
      <w:ind w:firstLine="1446" w:firstLineChars="200"/>
      <w:outlineLvl w:val="1"/>
    </w:pPr>
    <w:rPr>
      <w:rFonts w:ascii="Arial" w:hAnsi="Arial" w:eastAsia="宋体"/>
      <w:b/>
      <w:sz w:val="28"/>
    </w:rPr>
  </w:style>
  <w:style w:type="character" w:default="1" w:styleId="14">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customStyle="1" w:styleId="2">
    <w:name w:val="正文(首行缩进)"/>
    <w:basedOn w:val="1"/>
    <w:qFormat/>
    <w:uiPriority w:val="0"/>
    <w:pPr>
      <w:adjustRightInd w:val="0"/>
      <w:snapToGrid w:val="0"/>
      <w:spacing w:line="360" w:lineRule="auto"/>
      <w:ind w:firstLine="200" w:firstLineChars="200"/>
      <w:jc w:val="left"/>
    </w:pPr>
    <w:rPr>
      <w:rFonts w:ascii="宋体" w:hAnsi="宋体" w:cs="宋体"/>
      <w:snapToGrid w:val="0"/>
      <w:kern w:val="0"/>
      <w:sz w:val="24"/>
    </w:rPr>
  </w:style>
  <w:style w:type="paragraph" w:styleId="5">
    <w:name w:val="Body Text First Indent"/>
    <w:basedOn w:val="1"/>
    <w:qFormat/>
    <w:uiPriority w:val="0"/>
    <w:pPr>
      <w:ind w:firstLine="420" w:firstLineChars="100"/>
    </w:pPr>
    <w:rPr>
      <w:color w:val="000000"/>
      <w:szCs w:val="20"/>
    </w:rPr>
  </w:style>
  <w:style w:type="paragraph" w:styleId="6">
    <w:name w:val="annotation text"/>
    <w:basedOn w:val="1"/>
    <w:qFormat/>
    <w:uiPriority w:val="0"/>
    <w:pPr>
      <w:jc w:val="left"/>
    </w:pPr>
  </w:style>
  <w:style w:type="paragraph" w:styleId="7">
    <w:name w:val="Body Text"/>
    <w:basedOn w:val="1"/>
    <w:qFormat/>
    <w:uiPriority w:val="0"/>
    <w:pPr>
      <w:autoSpaceDE w:val="0"/>
      <w:autoSpaceDN w:val="0"/>
      <w:adjustRightInd w:val="0"/>
      <w:spacing w:line="360" w:lineRule="atLeast"/>
      <w:jc w:val="left"/>
      <w:textAlignment w:val="baseline"/>
    </w:pPr>
    <w:rPr>
      <w:rFonts w:ascii="宋体"/>
      <w:color w:val="000000"/>
      <w:kern w:val="0"/>
      <w:sz w:val="24"/>
      <w:szCs w:val="20"/>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5">
    <w:name w:val="page number"/>
    <w:basedOn w:val="14"/>
    <w:qFormat/>
    <w:uiPriority w:val="0"/>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p0"/>
    <w:basedOn w:val="1"/>
    <w:qFormat/>
    <w:uiPriority w:val="0"/>
    <w:pPr>
      <w:widowControl/>
    </w:pPr>
    <w:rPr>
      <w:rFonts w:ascii="Calibri" w:hAnsi="Calibri" w:cs="宋体"/>
      <w:kern w:val="0"/>
      <w:szCs w:val="21"/>
    </w:rPr>
  </w:style>
  <w:style w:type="paragraph" w:customStyle="1" w:styleId="19">
    <w:name w:val="表格文字2"/>
    <w:basedOn w:val="1"/>
    <w:qFormat/>
    <w:uiPriority w:val="0"/>
    <w:pPr>
      <w:autoSpaceDE/>
      <w:autoSpaceDN/>
      <w:spacing w:before="60" w:beforeLines="0"/>
      <w:jc w:val="center"/>
    </w:pPr>
    <w:rPr>
      <w:color w:val="auto"/>
    </w:rPr>
  </w:style>
  <w:style w:type="paragraph" w:customStyle="1" w:styleId="20">
    <w:name w:val="正文001"/>
    <w:basedOn w:val="1"/>
    <w:qFormat/>
    <w:uiPriority w:val="0"/>
    <w:pPr>
      <w:spacing w:before="60" w:line="420" w:lineRule="exact"/>
      <w:ind w:firstLine="482"/>
    </w:pPr>
    <w:rPr>
      <w:color w:val="000000"/>
      <w:szCs w:val="24"/>
    </w:rPr>
  </w:style>
  <w:style w:type="paragraph" w:customStyle="1" w:styleId="21">
    <w:name w:val="0"/>
    <w:basedOn w:val="22"/>
    <w:qFormat/>
    <w:uiPriority w:val="0"/>
    <w:pPr>
      <w:spacing w:line="240" w:lineRule="auto"/>
      <w:ind w:firstLine="0" w:firstLineChars="0"/>
    </w:pPr>
    <w:rPr>
      <w:rFonts w:ascii="Arial" w:hAnsi="Arial" w:cs="Arial"/>
      <w:bCs/>
      <w:sz w:val="21"/>
    </w:rPr>
  </w:style>
  <w:style w:type="paragraph" w:customStyle="1" w:styleId="22">
    <w:name w:val="Char"/>
    <w:basedOn w:val="1"/>
    <w:qFormat/>
    <w:uiPriority w:val="0"/>
    <w:rPr>
      <w:rFonts w:ascii="Tahoma" w:hAnsi="Tahoma"/>
      <w:sz w:val="24"/>
    </w:rPr>
  </w:style>
  <w:style w:type="paragraph" w:customStyle="1" w:styleId="23">
    <w:name w:val="正文，文本"/>
    <w:basedOn w:val="1"/>
    <w:qFormat/>
    <w:uiPriority w:val="0"/>
    <w:pPr>
      <w:spacing w:line="360" w:lineRule="auto"/>
      <w:ind w:firstLine="480" w:firstLineChars="200"/>
    </w:pPr>
    <w:rPr>
      <w:rFonts w:cs="宋体"/>
      <w:sz w:val="24"/>
      <w:szCs w:val="20"/>
    </w:rPr>
  </w:style>
  <w:style w:type="character" w:customStyle="1" w:styleId="24">
    <w:name w:val="标题 2 Char"/>
    <w:link w:val="4"/>
    <w:qFormat/>
    <w:uiPriority w:val="0"/>
    <w:rPr>
      <w:rFonts w:ascii="Arial" w:hAnsi="Arial" w:eastAsia="宋体"/>
      <w:b/>
      <w:sz w:val="28"/>
    </w:rPr>
  </w:style>
  <w:style w:type="paragraph" w:customStyle="1" w:styleId="25">
    <w:name w:val="样式1"/>
    <w:basedOn w:val="1"/>
    <w:qFormat/>
    <w:uiPriority w:val="0"/>
    <w:pPr>
      <w:spacing w:line="540" w:lineRule="exact"/>
      <w:ind w:firstLine="1320" w:firstLineChars="200"/>
    </w:pPr>
    <w:rPr>
      <w:rFonts w:ascii="Times New Roman" w:hAnsi="Times New Roman"/>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2017-03-03T11:16:00Z</dcterms:created>
  <dc:creator>Administrator</dc:creator>
  <cp:lastModifiedBy>咿    呀</cp:lastModifiedBy>
  <cp:lastPrinted>2018-06-26T03:31:00Z</cp:lastPrinted>
  <dcterms:modified xsi:type="dcterms:W3CDTF">2018-07-04T03:46:13Z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