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宋体" w:hAnsi="宋体" w:eastAsia="宋体" w:cs="宋体"/>
          <w:bCs/>
          <w:sz w:val="66"/>
          <w:szCs w:val="66"/>
        </w:rPr>
      </w:pPr>
    </w:p>
    <w:p>
      <w:pPr>
        <w:spacing w:line="240" w:lineRule="auto"/>
        <w:ind w:firstLine="0" w:firstLineChars="0"/>
        <w:jc w:val="center"/>
        <w:rPr>
          <w:rFonts w:hint="eastAsia" w:ascii="宋体" w:hAnsi="宋体" w:eastAsia="宋体" w:cs="宋体"/>
          <w:b/>
          <w:bCs/>
          <w:color w:val="000000"/>
          <w:sz w:val="36"/>
          <w:szCs w:val="36"/>
        </w:rPr>
      </w:pPr>
      <w:r>
        <w:rPr>
          <w:rFonts w:hint="eastAsia" w:ascii="宋体" w:hAnsi="宋体" w:eastAsia="宋体" w:cs="宋体"/>
          <w:b/>
          <w:bCs/>
          <w:color w:val="000000"/>
          <w:sz w:val="36"/>
          <w:szCs w:val="36"/>
        </w:rPr>
        <w:t>中国石化销售有限公司贵州黔西南石油分公司</w:t>
      </w:r>
    </w:p>
    <w:p>
      <w:pPr>
        <w:spacing w:line="240" w:lineRule="auto"/>
        <w:ind w:firstLine="0" w:firstLineChars="0"/>
        <w:jc w:val="center"/>
        <w:rPr>
          <w:rFonts w:hint="eastAsia" w:ascii="宋体" w:hAnsi="宋体" w:eastAsia="宋体" w:cs="宋体"/>
          <w:b/>
          <w:bCs/>
          <w:color w:val="000000"/>
          <w:sz w:val="36"/>
          <w:szCs w:val="36"/>
        </w:rPr>
      </w:pPr>
      <w:r>
        <w:rPr>
          <w:rFonts w:hint="eastAsia" w:ascii="宋体" w:hAnsi="宋体" w:eastAsia="宋体" w:cs="宋体"/>
          <w:b/>
          <w:bCs/>
          <w:color w:val="000000"/>
          <w:sz w:val="36"/>
          <w:szCs w:val="36"/>
        </w:rPr>
        <w:t>晴隆油库建设项目竣工环境保护</w:t>
      </w:r>
    </w:p>
    <w:p>
      <w:pPr>
        <w:ind w:firstLine="0" w:firstLineChars="0"/>
        <w:jc w:val="center"/>
        <w:rPr>
          <w:rFonts w:eastAsiaTheme="minorEastAsia"/>
          <w:color w:val="000000"/>
          <w:sz w:val="72"/>
          <w:szCs w:val="72"/>
        </w:rPr>
      </w:pPr>
      <w:r>
        <w:rPr>
          <w:rFonts w:eastAsiaTheme="minorEastAsia"/>
          <w:b/>
          <w:color w:val="000000"/>
          <w:sz w:val="84"/>
          <w:szCs w:val="84"/>
        </w:rPr>
        <w:t>验</w:t>
      </w:r>
      <w:r>
        <w:rPr>
          <w:rFonts w:hint="eastAsia" w:eastAsiaTheme="minorEastAsia"/>
          <w:b/>
          <w:color w:val="000000"/>
          <w:sz w:val="84"/>
          <w:szCs w:val="84"/>
          <w:lang w:val="en-US" w:eastAsia="zh-CN"/>
        </w:rPr>
        <w:t xml:space="preserve"> </w:t>
      </w:r>
      <w:r>
        <w:rPr>
          <w:rFonts w:eastAsiaTheme="minorEastAsia"/>
          <w:b/>
          <w:color w:val="000000"/>
          <w:sz w:val="84"/>
          <w:szCs w:val="84"/>
        </w:rPr>
        <w:t>收</w:t>
      </w:r>
      <w:r>
        <w:rPr>
          <w:rFonts w:hint="eastAsia" w:eastAsiaTheme="minorEastAsia"/>
          <w:b/>
          <w:color w:val="000000"/>
          <w:sz w:val="84"/>
          <w:szCs w:val="84"/>
          <w:lang w:val="en-US" w:eastAsia="zh-CN"/>
        </w:rPr>
        <w:t xml:space="preserve"> </w:t>
      </w:r>
      <w:r>
        <w:rPr>
          <w:rFonts w:eastAsiaTheme="minorEastAsia"/>
          <w:b/>
          <w:color w:val="000000"/>
          <w:sz w:val="84"/>
          <w:szCs w:val="84"/>
        </w:rPr>
        <w:t>报</w:t>
      </w:r>
      <w:r>
        <w:rPr>
          <w:rFonts w:hint="eastAsia" w:eastAsiaTheme="minorEastAsia"/>
          <w:b/>
          <w:color w:val="000000"/>
          <w:sz w:val="84"/>
          <w:szCs w:val="84"/>
          <w:lang w:val="en-US" w:eastAsia="zh-CN"/>
        </w:rPr>
        <w:t xml:space="preserve"> </w:t>
      </w:r>
      <w:r>
        <w:rPr>
          <w:rFonts w:eastAsiaTheme="minorEastAsia"/>
          <w:b/>
          <w:color w:val="000000"/>
          <w:sz w:val="84"/>
          <w:szCs w:val="84"/>
        </w:rPr>
        <w:t>告</w:t>
      </w:r>
    </w:p>
    <w:p>
      <w:pPr>
        <w:pStyle w:val="7"/>
        <w:ind w:firstLine="240"/>
        <w:rPr>
          <w:rFonts w:eastAsiaTheme="minorEastAsia"/>
        </w:rPr>
      </w:pPr>
    </w:p>
    <w:p>
      <w:pPr>
        <w:pStyle w:val="7"/>
        <w:ind w:firstLine="240"/>
        <w:rPr>
          <w:rFonts w:eastAsiaTheme="minorEastAsia"/>
        </w:rPr>
      </w:pPr>
    </w:p>
    <w:p>
      <w:pPr>
        <w:pStyle w:val="7"/>
        <w:ind w:left="0" w:leftChars="0" w:firstLine="0" w:firstLineChars="0"/>
        <w:jc w:val="both"/>
        <w:rPr>
          <w:rFonts w:eastAsiaTheme="minorEastAsia"/>
        </w:rPr>
      </w:pPr>
      <w:r>
        <w:rPr>
          <w:rFonts w:eastAsiaTheme="minorEastAsia"/>
        </w:rPr>
        <w:t xml:space="preserve">  </w:t>
      </w:r>
    </w:p>
    <w:p>
      <w:pPr>
        <w:pStyle w:val="7"/>
        <w:ind w:left="0" w:leftChars="0" w:firstLine="0" w:firstLineChars="0"/>
        <w:jc w:val="both"/>
        <w:rPr>
          <w:rFonts w:eastAsiaTheme="minorEastAsia"/>
        </w:rPr>
      </w:pPr>
    </w:p>
    <w:p>
      <w:pPr>
        <w:pStyle w:val="7"/>
        <w:ind w:left="0" w:leftChars="0" w:firstLine="0" w:firstLineChars="0"/>
        <w:jc w:val="both"/>
        <w:rPr>
          <w:rFonts w:eastAsiaTheme="minorEastAsia"/>
        </w:rPr>
      </w:pPr>
    </w:p>
    <w:p>
      <w:pPr>
        <w:pStyle w:val="7"/>
        <w:ind w:left="0" w:leftChars="0" w:firstLine="0" w:firstLineChars="0"/>
        <w:jc w:val="both"/>
        <w:rPr>
          <w:rFonts w:eastAsiaTheme="minorEastAsia"/>
        </w:rPr>
      </w:pPr>
    </w:p>
    <w:p>
      <w:pPr>
        <w:ind w:firstLine="1383" w:firstLineChars="492"/>
        <w:rPr>
          <w:rFonts w:eastAsiaTheme="minorEastAsia"/>
          <w:b/>
          <w:color w:val="000000"/>
          <w:sz w:val="28"/>
          <w:szCs w:val="28"/>
        </w:rPr>
      </w:pPr>
    </w:p>
    <w:p>
      <w:pPr>
        <w:keepNext w:val="0"/>
        <w:keepLines w:val="0"/>
        <w:pageBreakBefore w:val="0"/>
        <w:widowControl/>
        <w:kinsoku/>
        <w:wordWrap/>
        <w:overflowPunct/>
        <w:topLinePunct w:val="0"/>
        <w:autoSpaceDE/>
        <w:autoSpaceDN/>
        <w:bidi w:val="0"/>
        <w:adjustRightInd w:val="0"/>
        <w:snapToGrid w:val="0"/>
        <w:spacing w:after="0" w:line="360" w:lineRule="auto"/>
        <w:ind w:firstLine="640" w:firstLineChars="200"/>
        <w:textAlignment w:val="auto"/>
        <w:rPr>
          <w:rFonts w:hint="eastAsia" w:ascii="宋体" w:hAnsi="宋体" w:eastAsia="宋体" w:cs="宋体"/>
          <w:color w:val="000000"/>
          <w:spacing w:val="-26"/>
          <w:sz w:val="32"/>
          <w:szCs w:val="32"/>
        </w:rPr>
      </w:pPr>
      <w:r>
        <w:rPr>
          <w:rFonts w:hint="eastAsia" w:ascii="宋体" w:hAnsi="宋体" w:eastAsia="宋体" w:cs="宋体"/>
          <w:color w:val="000000"/>
          <w:sz w:val="32"/>
          <w:szCs w:val="32"/>
        </w:rPr>
        <w:t>建设单位：</w:t>
      </w:r>
      <w:r>
        <w:rPr>
          <w:rFonts w:hint="eastAsia" w:ascii="宋体" w:hAnsi="宋体" w:eastAsia="宋体" w:cs="宋体"/>
          <w:color w:val="000000"/>
          <w:spacing w:val="-26"/>
          <w:sz w:val="32"/>
          <w:szCs w:val="32"/>
        </w:rPr>
        <w:t>中国石化销售有限公司贵州黔西南石油分公司</w:t>
      </w:r>
    </w:p>
    <w:p>
      <w:pPr>
        <w:spacing w:line="480" w:lineRule="auto"/>
        <w:ind w:firstLine="640" w:firstLineChars="200"/>
        <w:rPr>
          <w:rFonts w:hint="eastAsia" w:ascii="宋体" w:hAnsi="宋体" w:eastAsia="宋体" w:cs="宋体"/>
          <w:color w:val="000000"/>
          <w:sz w:val="32"/>
          <w:szCs w:val="32"/>
        </w:rPr>
      </w:pPr>
      <w:r>
        <w:rPr>
          <w:rFonts w:hint="eastAsia" w:ascii="宋体" w:hAnsi="宋体" w:eastAsia="宋体" w:cs="宋体"/>
          <w:color w:val="000000"/>
          <w:sz w:val="32"/>
          <w:szCs w:val="32"/>
        </w:rPr>
        <w:t>编制单位：贵州省洪鑫环境检测服务有限公司</w:t>
      </w:r>
    </w:p>
    <w:p>
      <w:pPr>
        <w:jc w:val="center"/>
        <w:rPr>
          <w:rFonts w:ascii="宋体" w:hAnsi="宋体" w:eastAsia="宋体" w:cs="宋体"/>
          <w:bCs/>
          <w:sz w:val="66"/>
          <w:szCs w:val="66"/>
        </w:rPr>
      </w:pPr>
    </w:p>
    <w:p>
      <w:pPr>
        <w:pStyle w:val="20"/>
        <w:keepNext w:val="0"/>
        <w:keepLines w:val="0"/>
        <w:pageBreakBefore w:val="0"/>
        <w:widowControl/>
        <w:kinsoku/>
        <w:wordWrap/>
        <w:overflowPunct/>
        <w:topLinePunct w:val="0"/>
        <w:autoSpaceDE/>
        <w:autoSpaceDN/>
        <w:bidi w:val="0"/>
        <w:adjustRightInd w:val="0"/>
        <w:snapToGrid w:val="0"/>
        <w:spacing w:after="0"/>
        <w:textAlignment w:val="auto"/>
        <w:rPr>
          <w:rFonts w:ascii="宋体" w:hAnsi="宋体" w:eastAsia="宋体" w:cs="宋体"/>
          <w:bCs/>
          <w:sz w:val="66"/>
          <w:szCs w:val="66"/>
        </w:rPr>
      </w:pPr>
    </w:p>
    <w:p>
      <w:pPr>
        <w:pStyle w:val="7"/>
        <w:keepNext w:val="0"/>
        <w:keepLines w:val="0"/>
        <w:pageBreakBefore w:val="0"/>
        <w:widowControl/>
        <w:kinsoku/>
        <w:wordWrap/>
        <w:overflowPunct/>
        <w:topLinePunct w:val="0"/>
        <w:autoSpaceDE/>
        <w:autoSpaceDN/>
        <w:bidi w:val="0"/>
        <w:adjustRightInd w:val="0"/>
        <w:snapToGrid w:val="0"/>
        <w:spacing w:after="0"/>
        <w:textAlignment w:val="auto"/>
        <w:rPr>
          <w:rFonts w:ascii="宋体" w:hAnsi="宋体" w:eastAsia="宋体" w:cs="宋体"/>
          <w:bCs/>
          <w:sz w:val="66"/>
          <w:szCs w:val="66"/>
        </w:rPr>
      </w:pPr>
    </w:p>
    <w:p>
      <w:pPr>
        <w:pStyle w:val="7"/>
        <w:ind w:left="0" w:leftChars="0" w:firstLine="0" w:firstLineChars="0"/>
        <w:jc w:val="center"/>
        <w:rPr>
          <w:rFonts w:hint="eastAsia" w:ascii="宋体" w:hAnsi="宋体" w:eastAsia="宋体" w:cs="宋体"/>
          <w:b/>
          <w:bCs w:val="0"/>
          <w:sz w:val="32"/>
          <w:szCs w:val="32"/>
        </w:rPr>
      </w:pPr>
    </w:p>
    <w:p>
      <w:pPr>
        <w:pStyle w:val="7"/>
        <w:ind w:left="0" w:leftChars="0" w:firstLine="0" w:firstLineChars="0"/>
        <w:jc w:val="center"/>
        <w:rPr>
          <w:rFonts w:hint="eastAsia" w:ascii="宋体" w:hAnsi="宋体" w:eastAsia="宋体" w:cs="宋体"/>
          <w:b/>
          <w:bCs w:val="0"/>
          <w:sz w:val="32"/>
          <w:szCs w:val="32"/>
        </w:rPr>
      </w:pPr>
    </w:p>
    <w:p>
      <w:pPr>
        <w:pStyle w:val="7"/>
        <w:ind w:left="0" w:leftChars="0" w:firstLine="0" w:firstLineChars="0"/>
        <w:jc w:val="center"/>
        <w:rPr>
          <w:rFonts w:hint="eastAsia" w:ascii="宋体" w:hAnsi="宋体" w:eastAsia="宋体" w:cs="宋体"/>
          <w:b/>
          <w:bCs w:val="0"/>
          <w:sz w:val="32"/>
          <w:szCs w:val="32"/>
        </w:rPr>
      </w:pPr>
      <w:r>
        <w:rPr>
          <w:rFonts w:hint="eastAsia" w:ascii="宋体" w:hAnsi="宋体" w:eastAsia="宋体" w:cs="宋体"/>
          <w:b/>
          <w:bCs w:val="0"/>
          <w:sz w:val="32"/>
          <w:szCs w:val="32"/>
        </w:rPr>
        <w:t>二〇一八年十</w:t>
      </w:r>
      <w:r>
        <w:rPr>
          <w:rFonts w:hint="eastAsia" w:ascii="宋体" w:hAnsi="宋体" w:eastAsia="宋体" w:cs="宋体"/>
          <w:b/>
          <w:bCs w:val="0"/>
          <w:sz w:val="32"/>
          <w:szCs w:val="32"/>
          <w:lang w:eastAsia="zh-CN"/>
        </w:rPr>
        <w:t>二</w:t>
      </w:r>
      <w:r>
        <w:rPr>
          <w:rFonts w:hint="eastAsia" w:ascii="宋体" w:hAnsi="宋体" w:eastAsia="宋体" w:cs="宋体"/>
          <w:b/>
          <w:bCs w:val="0"/>
          <w:sz w:val="32"/>
          <w:szCs w:val="32"/>
        </w:rPr>
        <w:t>月</w:t>
      </w:r>
    </w:p>
    <w:p>
      <w:pPr>
        <w:pStyle w:val="7"/>
        <w:jc w:val="center"/>
        <w:rPr>
          <w:rFonts w:hint="eastAsia" w:ascii="宋体" w:hAnsi="宋体" w:eastAsia="宋体" w:cs="宋体"/>
          <w:bCs/>
          <w:sz w:val="32"/>
          <w:szCs w:val="32"/>
        </w:rPr>
      </w:pPr>
    </w:p>
    <w:p>
      <w:pPr>
        <w:pStyle w:val="7"/>
        <w:jc w:val="center"/>
        <w:rPr>
          <w:rFonts w:hint="eastAsia" w:ascii="宋体" w:hAnsi="宋体" w:eastAsia="宋体" w:cs="宋体"/>
          <w:bCs/>
          <w:sz w:val="32"/>
          <w:szCs w:val="32"/>
        </w:rPr>
      </w:pPr>
    </w:p>
    <w:p>
      <w:pPr>
        <w:pStyle w:val="7"/>
        <w:jc w:val="center"/>
        <w:rPr>
          <w:rFonts w:hint="eastAsia" w:ascii="宋体" w:hAnsi="宋体" w:eastAsia="宋体" w:cs="宋体"/>
          <w:bCs/>
          <w:sz w:val="32"/>
          <w:szCs w:val="32"/>
        </w:rPr>
      </w:pPr>
    </w:p>
    <w:p>
      <w:pPr>
        <w:ind w:firstLine="720"/>
        <w:jc w:val="center"/>
        <w:rPr>
          <w:rFonts w:hint="eastAsia" w:ascii="黑体" w:hAnsi="黑体" w:eastAsia="黑体" w:cs="仿宋"/>
          <w:sz w:val="36"/>
          <w:szCs w:val="36"/>
        </w:rPr>
      </w:pPr>
      <w:r>
        <w:rPr>
          <w:rFonts w:hint="eastAsia" w:ascii="黑体" w:hAnsi="黑体" w:eastAsia="黑体" w:cs="仿宋"/>
          <w:sz w:val="36"/>
          <w:szCs w:val="36"/>
        </w:rPr>
        <w:t>目   录</w:t>
      </w:r>
    </w:p>
    <w:p>
      <w:pPr>
        <w:pStyle w:val="2"/>
      </w:pP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pacing w:val="-20"/>
          <w:sz w:val="28"/>
          <w:szCs w:val="28"/>
        </w:rPr>
      </w:pPr>
      <w:r>
        <w:rPr>
          <w:rFonts w:hint="eastAsia" w:ascii="宋体" w:hAnsi="宋体" w:eastAsia="宋体" w:cs="宋体"/>
          <w:color w:val="000000"/>
          <w:sz w:val="28"/>
          <w:szCs w:val="28"/>
        </w:rPr>
        <w:t>第一部分：</w:t>
      </w:r>
      <w:r>
        <w:rPr>
          <w:rFonts w:hint="eastAsia" w:ascii="宋体" w:hAnsi="宋体" w:eastAsia="宋体" w:cs="宋体"/>
          <w:color w:val="000000"/>
          <w:spacing w:val="-20"/>
          <w:sz w:val="28"/>
          <w:szCs w:val="28"/>
        </w:rPr>
        <w:t>中国石化销售有限公司贵州黔西南石油分公司晴隆油库建设项目竣工环境保护验收监测报告表</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1600" w:hanging="1400" w:hangingChars="500"/>
        <w:textAlignment w:val="auto"/>
        <w:outlineLvl w:val="9"/>
        <w:rPr>
          <w:rFonts w:hint="eastAsia" w:ascii="宋体" w:hAnsi="宋体" w:eastAsia="宋体" w:cs="宋体"/>
          <w:color w:val="000000"/>
          <w:spacing w:val="-20"/>
          <w:sz w:val="28"/>
          <w:szCs w:val="28"/>
        </w:rPr>
      </w:pPr>
      <w:r>
        <w:rPr>
          <w:rFonts w:hint="eastAsia" w:ascii="宋体" w:hAnsi="宋体" w:eastAsia="宋体" w:cs="宋体"/>
          <w:color w:val="000000"/>
          <w:sz w:val="28"/>
          <w:szCs w:val="28"/>
        </w:rPr>
        <w:t>第二部分：</w:t>
      </w:r>
      <w:r>
        <w:rPr>
          <w:rFonts w:hint="eastAsia" w:ascii="宋体" w:hAnsi="宋体" w:eastAsia="宋体" w:cs="宋体"/>
          <w:color w:val="000000"/>
          <w:spacing w:val="-20"/>
          <w:sz w:val="28"/>
          <w:szCs w:val="28"/>
        </w:rPr>
        <w:t>中国石化销售有限公司贵州黔西南石油分公司晴隆油库建设项目竣工环境保护验收意见</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rPr>
        <w:t>第三部分：</w:t>
      </w:r>
      <w:r>
        <w:rPr>
          <w:rFonts w:hint="eastAsia" w:ascii="宋体" w:hAnsi="宋体" w:eastAsia="宋体" w:cs="宋体"/>
          <w:color w:val="000000"/>
          <w:sz w:val="28"/>
          <w:szCs w:val="28"/>
          <w:lang w:eastAsia="zh-CN"/>
        </w:rPr>
        <w:t>其他说明事项</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1</w:t>
      </w:r>
      <w:r>
        <w:rPr>
          <w:rFonts w:hint="eastAsia" w:ascii="宋体" w:hAnsi="宋体" w:eastAsia="宋体" w:cs="宋体"/>
          <w:color w:val="000000"/>
          <w:sz w:val="28"/>
          <w:szCs w:val="28"/>
          <w:lang w:eastAsia="zh-CN"/>
        </w:rPr>
        <w:t>、项目验收委托书。</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2</w:t>
      </w:r>
      <w:r>
        <w:rPr>
          <w:rFonts w:hint="eastAsia" w:ascii="宋体" w:hAnsi="宋体" w:eastAsia="宋体" w:cs="宋体"/>
          <w:color w:val="000000"/>
          <w:sz w:val="28"/>
          <w:szCs w:val="28"/>
          <w:lang w:eastAsia="zh-CN"/>
        </w:rPr>
        <w:t>、</w:t>
      </w:r>
      <w:r>
        <w:rPr>
          <w:rFonts w:hint="eastAsia" w:ascii="宋体" w:hAnsi="宋体" w:eastAsia="宋体" w:cs="宋体"/>
          <w:color w:val="000000"/>
          <w:spacing w:val="-20"/>
          <w:sz w:val="28"/>
          <w:szCs w:val="28"/>
          <w:lang w:eastAsia="zh-CN"/>
        </w:rPr>
        <w:t>《中国石化销售有限公司贵州黔西南石油分公司晴隆油库建设项目环境影响报告表》的核准意见。</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3</w:t>
      </w:r>
      <w:r>
        <w:rPr>
          <w:rFonts w:hint="eastAsia" w:ascii="宋体" w:hAnsi="宋体" w:eastAsia="宋体" w:cs="宋体"/>
          <w:color w:val="000000"/>
          <w:sz w:val="28"/>
          <w:szCs w:val="28"/>
          <w:lang w:eastAsia="zh-CN"/>
        </w:rPr>
        <w:t>、项目环境保护验收一览表</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val="en-US"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4、</w:t>
      </w:r>
      <w:r>
        <w:rPr>
          <w:rFonts w:hint="eastAsia" w:ascii="宋体" w:hAnsi="宋体" w:eastAsia="宋体" w:cs="宋体"/>
          <w:color w:val="000000"/>
          <w:sz w:val="28"/>
          <w:szCs w:val="28"/>
          <w:lang w:eastAsia="zh-CN"/>
        </w:rPr>
        <w:t>油气回收检测报告。</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5</w:t>
      </w:r>
      <w:r>
        <w:rPr>
          <w:rFonts w:hint="eastAsia" w:ascii="宋体" w:hAnsi="宋体" w:eastAsia="宋体" w:cs="宋体"/>
          <w:color w:val="000000"/>
          <w:sz w:val="28"/>
          <w:szCs w:val="28"/>
          <w:lang w:eastAsia="zh-CN"/>
        </w:rPr>
        <w:t>、油污处置合同。</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附件</w:t>
      </w:r>
      <w:r>
        <w:rPr>
          <w:rFonts w:hint="eastAsia" w:ascii="宋体" w:hAnsi="宋体" w:eastAsia="宋体" w:cs="宋体"/>
          <w:color w:val="000000"/>
          <w:sz w:val="28"/>
          <w:szCs w:val="28"/>
          <w:lang w:val="en-US" w:eastAsia="zh-CN"/>
        </w:rPr>
        <w:t>6</w:t>
      </w:r>
      <w:r>
        <w:rPr>
          <w:rFonts w:hint="eastAsia" w:ascii="宋体" w:hAnsi="宋体" w:eastAsia="宋体" w:cs="宋体"/>
          <w:color w:val="000000"/>
          <w:sz w:val="28"/>
          <w:szCs w:val="28"/>
          <w:lang w:eastAsia="zh-CN"/>
        </w:rPr>
        <w:t>、验收检测报告。</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附图：</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附图1、项目地理位置图</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附图2、项目外环境关系图</w:t>
      </w: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400" w:hangingChars="500"/>
        <w:textAlignment w:val="auto"/>
        <w:outlineLvl w:val="9"/>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t>附图3、项目现场及环保设施图</w:t>
      </w:r>
    </w:p>
    <w:p>
      <w:pPr>
        <w:pStyle w:val="52"/>
        <w:keepNext w:val="0"/>
        <w:keepLines w:val="0"/>
        <w:pageBreakBefore w:val="0"/>
        <w:widowControl/>
        <w:kinsoku/>
        <w:wordWrap/>
        <w:overflowPunct/>
        <w:topLinePunct w:val="0"/>
        <w:autoSpaceDE/>
        <w:autoSpaceDN/>
        <w:bidi w:val="0"/>
        <w:adjustRightInd w:val="0"/>
        <w:snapToGrid w:val="0"/>
        <w:spacing w:after="0" w:line="360" w:lineRule="auto"/>
        <w:textAlignment w:val="auto"/>
        <w:outlineLvl w:val="9"/>
        <w:rPr>
          <w:rFonts w:hint="eastAsia" w:ascii="宋体" w:hAnsi="宋体" w:eastAsia="宋体" w:cs="宋体"/>
          <w:color w:val="000000"/>
          <w:sz w:val="32"/>
          <w:szCs w:val="32"/>
        </w:rPr>
      </w:pPr>
    </w:p>
    <w:p>
      <w:pPr>
        <w:pStyle w:val="52"/>
        <w:keepNext w:val="0"/>
        <w:keepLines w:val="0"/>
        <w:pageBreakBefore w:val="0"/>
        <w:widowControl/>
        <w:kinsoku/>
        <w:wordWrap/>
        <w:overflowPunct/>
        <w:topLinePunct w:val="0"/>
        <w:autoSpaceDE/>
        <w:autoSpaceDN/>
        <w:bidi w:val="0"/>
        <w:adjustRightInd w:val="0"/>
        <w:snapToGrid w:val="0"/>
        <w:spacing w:after="0" w:line="360" w:lineRule="auto"/>
        <w:ind w:left="0" w:hanging="1600" w:hangingChars="500"/>
        <w:textAlignment w:val="auto"/>
        <w:outlineLvl w:val="9"/>
        <w:rPr>
          <w:rFonts w:hint="eastAsia" w:ascii="宋体" w:hAnsi="宋体" w:eastAsia="宋体" w:cs="宋体"/>
          <w:color w:val="000000"/>
          <w:sz w:val="32"/>
          <w:szCs w:val="32"/>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708" w:footer="708" w:gutter="0"/>
          <w:cols w:space="720" w:num="1"/>
          <w:docGrid w:linePitch="360" w:charSpace="0"/>
        </w:sectPr>
      </w:pPr>
    </w:p>
    <w:p>
      <w:pPr>
        <w:pStyle w:val="20"/>
        <w:spacing w:after="0" w:line="360" w:lineRule="auto"/>
        <w:ind w:firstLine="0" w:firstLineChars="0"/>
        <w:jc w:val="both"/>
        <w:rPr>
          <w:rFonts w:hint="eastAsia" w:eastAsia="宋体"/>
          <w:b/>
          <w:bCs/>
          <w:sz w:val="96"/>
          <w:szCs w:val="96"/>
        </w:rPr>
      </w:pPr>
    </w:p>
    <w:p>
      <w:pPr>
        <w:pStyle w:val="20"/>
        <w:spacing w:after="0" w:line="360" w:lineRule="auto"/>
        <w:ind w:firstLine="0" w:firstLineChars="0"/>
        <w:jc w:val="center"/>
        <w:rPr>
          <w:rFonts w:eastAsia="宋体"/>
          <w:b/>
          <w:bCs/>
          <w:sz w:val="144"/>
          <w:szCs w:val="144"/>
        </w:rPr>
      </w:pPr>
      <w:r>
        <w:rPr>
          <w:rFonts w:hint="eastAsia" w:eastAsia="宋体"/>
          <w:b/>
          <w:bCs/>
          <w:sz w:val="144"/>
          <w:szCs w:val="144"/>
        </w:rPr>
        <w:t>第</w:t>
      </w:r>
    </w:p>
    <w:p>
      <w:pPr>
        <w:pStyle w:val="7"/>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一</w:t>
      </w:r>
    </w:p>
    <w:p>
      <w:pPr>
        <w:pStyle w:val="7"/>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部</w:t>
      </w:r>
    </w:p>
    <w:p>
      <w:pPr>
        <w:pStyle w:val="7"/>
        <w:spacing w:after="0" w:line="360" w:lineRule="auto"/>
        <w:ind w:firstLine="0" w:firstLineChars="0"/>
        <w:jc w:val="center"/>
        <w:rPr>
          <w:rFonts w:ascii="宋体" w:hAnsi="宋体" w:eastAsia="宋体" w:cs="宋体"/>
          <w:b/>
          <w:bCs/>
          <w:sz w:val="144"/>
          <w:szCs w:val="144"/>
        </w:rPr>
      </w:pPr>
      <w:r>
        <w:rPr>
          <w:rFonts w:hint="eastAsia" w:ascii="宋体" w:hAnsi="宋体" w:eastAsia="宋体" w:cs="宋体"/>
          <w:b/>
          <w:bCs/>
          <w:sz w:val="144"/>
          <w:szCs w:val="144"/>
        </w:rPr>
        <w:t>份</w:t>
      </w:r>
    </w:p>
    <w:p>
      <w:pPr>
        <w:pStyle w:val="20"/>
        <w:ind w:left="0" w:leftChars="0" w:firstLine="0" w:firstLineChars="0"/>
        <w:rPr>
          <w:rFonts w:ascii="宋体" w:hAnsi="宋体" w:eastAsia="宋体" w:cs="宋体"/>
          <w:bCs/>
          <w:sz w:val="66"/>
          <w:szCs w:val="66"/>
        </w:rPr>
      </w:pPr>
    </w:p>
    <w:p>
      <w:pPr>
        <w:pStyle w:val="7"/>
        <w:ind w:left="0" w:leftChars="0" w:firstLine="0" w:firstLineChars="0"/>
        <w:rPr>
          <w:rFonts w:ascii="宋体" w:hAnsi="宋体" w:eastAsia="宋体" w:cs="宋体"/>
          <w:bCs/>
          <w:sz w:val="66"/>
          <w:szCs w:val="66"/>
        </w:rPr>
      </w:pPr>
    </w:p>
    <w:p>
      <w:pPr>
        <w:jc w:val="center"/>
        <w:rPr>
          <w:rFonts w:hint="eastAsia" w:ascii="Times New Roman" w:hAnsi="Times New Roman" w:eastAsia="宋体"/>
          <w:b/>
          <w:bCs/>
          <w:sz w:val="36"/>
          <w:szCs w:val="36"/>
        </w:rPr>
      </w:pPr>
      <w:r>
        <w:rPr>
          <w:rFonts w:hint="eastAsia" w:ascii="Times New Roman" w:hAnsi="Times New Roman" w:eastAsia="宋体"/>
          <w:b/>
          <w:bCs/>
          <w:sz w:val="36"/>
          <w:szCs w:val="36"/>
        </w:rPr>
        <w:t>中国石化销售有限公司贵州黔西南石油分公司</w:t>
      </w:r>
    </w:p>
    <w:p>
      <w:pPr>
        <w:jc w:val="center"/>
        <w:rPr>
          <w:rFonts w:ascii="Times New Roman" w:hAnsi="Times New Roman" w:eastAsia="宋体"/>
          <w:b/>
          <w:bCs/>
          <w:sz w:val="36"/>
          <w:szCs w:val="36"/>
        </w:rPr>
      </w:pPr>
      <w:r>
        <w:rPr>
          <w:rFonts w:hint="eastAsia" w:ascii="Times New Roman" w:hAnsi="Times New Roman" w:eastAsia="宋体"/>
          <w:b/>
          <w:bCs/>
          <w:sz w:val="36"/>
          <w:szCs w:val="36"/>
        </w:rPr>
        <w:t>晴隆油库建设项目</w:t>
      </w:r>
      <w:r>
        <w:rPr>
          <w:rFonts w:ascii="Times New Roman" w:hAnsi="Times New Roman" w:eastAsia="宋体"/>
          <w:b/>
          <w:bCs/>
          <w:sz w:val="36"/>
          <w:szCs w:val="36"/>
        </w:rPr>
        <w:t>竣工环境保护</w:t>
      </w:r>
    </w:p>
    <w:p>
      <w:pPr>
        <w:ind w:left="1778" w:hanging="1778" w:hangingChars="246"/>
        <w:jc w:val="center"/>
        <w:rPr>
          <w:rFonts w:ascii="Times New Roman" w:hAnsi="Times New Roman" w:eastAsia="宋体"/>
          <w:b/>
          <w:bCs/>
          <w:sz w:val="72"/>
          <w:szCs w:val="72"/>
        </w:rPr>
      </w:pPr>
      <w:r>
        <w:rPr>
          <w:rFonts w:ascii="Times New Roman" w:hAnsi="Times New Roman" w:eastAsia="宋体"/>
          <w:b/>
          <w:bCs/>
          <w:sz w:val="72"/>
          <w:szCs w:val="72"/>
        </w:rPr>
        <w:t>验收</w:t>
      </w:r>
      <w:r>
        <w:rPr>
          <w:rFonts w:hint="eastAsia" w:ascii="Times New Roman" w:hAnsi="Times New Roman" w:eastAsia="宋体"/>
          <w:b/>
          <w:bCs/>
          <w:sz w:val="72"/>
          <w:szCs w:val="72"/>
          <w:lang w:eastAsia="zh-CN"/>
        </w:rPr>
        <w:t>监测</w:t>
      </w:r>
      <w:r>
        <w:rPr>
          <w:rFonts w:ascii="Times New Roman" w:hAnsi="Times New Roman" w:eastAsia="宋体"/>
          <w:b/>
          <w:bCs/>
          <w:sz w:val="72"/>
          <w:szCs w:val="72"/>
        </w:rPr>
        <w:t>报告</w:t>
      </w:r>
    </w:p>
    <w:p>
      <w:pPr>
        <w:jc w:val="distribute"/>
        <w:rPr>
          <w:rFonts w:ascii="Times New Roman" w:hAnsi="Times New Roman"/>
        </w:rPr>
      </w:pPr>
    </w:p>
    <w:p>
      <w:pPr>
        <w:pStyle w:val="20"/>
      </w:pPr>
    </w:p>
    <w:p>
      <w:pPr>
        <w:jc w:val="distribute"/>
        <w:rPr>
          <w:rFonts w:ascii="Times New Roman" w:hAnsi="Times New Roman"/>
        </w:rPr>
      </w:pPr>
    </w:p>
    <w:p>
      <w:pPr>
        <w:jc w:val="distribute"/>
        <w:rPr>
          <w:rFonts w:ascii="Times New Roman" w:hAnsi="Times New Roman"/>
        </w:rPr>
      </w:pPr>
    </w:p>
    <w:p>
      <w:pPr>
        <w:pStyle w:val="20"/>
        <w:ind w:firstLine="480"/>
      </w:pPr>
    </w:p>
    <w:p>
      <w:pPr>
        <w:pStyle w:val="7"/>
        <w:ind w:firstLine="220"/>
      </w:pPr>
    </w:p>
    <w:p>
      <w:pPr>
        <w:spacing w:line="700" w:lineRule="exact"/>
        <w:outlineLvl w:val="0"/>
        <w:rPr>
          <w:rFonts w:ascii="Times New Roman" w:hAnsi="Times New Roman" w:eastAsia="宋体"/>
          <w:b/>
          <w:sz w:val="36"/>
          <w:szCs w:val="36"/>
        </w:rPr>
      </w:pPr>
      <w:r>
        <w:rPr>
          <w:rFonts w:hint="eastAsia" w:ascii="Times New Roman" w:hAnsi="Times New Roman" w:eastAsia="宋体"/>
          <w:b/>
          <w:sz w:val="36"/>
          <w:szCs w:val="36"/>
        </w:rPr>
        <w:t xml:space="preserve"> </w:t>
      </w:r>
    </w:p>
    <w:p>
      <w:pPr>
        <w:widowControl w:val="0"/>
        <w:adjustRightInd/>
        <w:snapToGrid/>
        <w:spacing w:line="360" w:lineRule="auto"/>
        <w:ind w:firstLine="321" w:firstLineChars="100"/>
        <w:jc w:val="both"/>
        <w:rPr>
          <w:rFonts w:ascii="宋体" w:hAnsi="宋体" w:eastAsia="宋体" w:cs="宋体"/>
          <w:b/>
          <w:bCs/>
          <w:spacing w:val="-18"/>
          <w:kern w:val="2"/>
          <w:sz w:val="32"/>
          <w:szCs w:val="32"/>
        </w:rPr>
      </w:pPr>
      <w:r>
        <w:rPr>
          <w:rFonts w:hint="eastAsia" w:ascii="宋体" w:hAnsi="宋体" w:eastAsia="宋体" w:cs="宋体"/>
          <w:b/>
          <w:bCs/>
          <w:kern w:val="2"/>
          <w:sz w:val="32"/>
          <w:szCs w:val="32"/>
        </w:rPr>
        <w:t>建设单位：</w:t>
      </w:r>
      <w:r>
        <w:rPr>
          <w:rFonts w:hint="eastAsia" w:ascii="宋体" w:hAnsi="宋体" w:eastAsia="宋体" w:cs="宋体"/>
          <w:snapToGrid w:val="0"/>
          <w:spacing w:val="-18"/>
          <w:sz w:val="32"/>
          <w:szCs w:val="32"/>
          <w:u w:val="single"/>
        </w:rPr>
        <w:t xml:space="preserve"> 中国石化销售有限公司贵州黔西南石油分公司      </w:t>
      </w:r>
    </w:p>
    <w:p>
      <w:pPr>
        <w:pStyle w:val="46"/>
        <w:spacing w:line="360" w:lineRule="auto"/>
        <w:ind w:firstLine="321" w:firstLineChars="100"/>
        <w:rPr>
          <w:rFonts w:ascii="宋体" w:hAnsi="宋体" w:eastAsia="宋体" w:cs="宋体"/>
          <w:bCs/>
          <w:snapToGrid w:val="0"/>
          <w:sz w:val="32"/>
          <w:szCs w:val="32"/>
        </w:rPr>
      </w:pPr>
      <w:r>
        <w:rPr>
          <w:rFonts w:hint="eastAsia" w:ascii="宋体" w:hAnsi="宋体" w:eastAsia="宋体" w:cs="宋体"/>
          <w:b/>
          <w:bCs/>
          <w:sz w:val="32"/>
          <w:szCs w:val="32"/>
        </w:rPr>
        <w:t>编制单位：</w:t>
      </w:r>
      <w:r>
        <w:rPr>
          <w:rFonts w:hint="eastAsia" w:ascii="宋体" w:hAnsi="宋体" w:eastAsia="宋体" w:cs="宋体"/>
          <w:spacing w:val="-20"/>
          <w:sz w:val="32"/>
          <w:szCs w:val="32"/>
          <w:u w:val="single"/>
        </w:rPr>
        <w:t xml:space="preserve">  </w:t>
      </w:r>
      <w:r>
        <w:rPr>
          <w:rFonts w:hint="eastAsia" w:ascii="宋体" w:hAnsi="宋体" w:eastAsia="宋体" w:cs="宋体"/>
          <w:spacing w:val="-20"/>
          <w:sz w:val="32"/>
          <w:szCs w:val="32"/>
          <w:u w:val="single"/>
          <w:lang w:val="en-US" w:eastAsia="zh-CN"/>
        </w:rPr>
        <w:t xml:space="preserve">      </w:t>
      </w:r>
      <w:r>
        <w:rPr>
          <w:rFonts w:hint="eastAsia" w:ascii="宋体" w:hAnsi="宋体" w:eastAsia="宋体" w:cs="宋体"/>
          <w:spacing w:val="-20"/>
          <w:sz w:val="32"/>
          <w:szCs w:val="32"/>
          <w:u w:val="single"/>
        </w:rPr>
        <w:t>贵州省洪鑫环境检测服务有限公司</w:t>
      </w:r>
      <w:r>
        <w:rPr>
          <w:rFonts w:hint="eastAsia" w:ascii="宋体" w:hAnsi="宋体" w:eastAsia="宋体" w:cs="宋体"/>
          <w:spacing w:val="-20"/>
          <w:sz w:val="32"/>
          <w:szCs w:val="32"/>
          <w:u w:val="single"/>
          <w:lang w:val="en-US" w:eastAsia="zh-CN"/>
        </w:rPr>
        <w:t xml:space="preserve">    </w:t>
      </w:r>
      <w:r>
        <w:rPr>
          <w:rFonts w:hint="eastAsia" w:ascii="宋体" w:hAnsi="宋体" w:eastAsia="宋体" w:cs="宋体"/>
          <w:spacing w:val="-20"/>
          <w:sz w:val="32"/>
          <w:szCs w:val="32"/>
          <w:u w:val="single"/>
        </w:rPr>
        <w:t xml:space="preserve">  </w:t>
      </w:r>
    </w:p>
    <w:p>
      <w:pPr>
        <w:rPr>
          <w:rFonts w:ascii="Times New Roman" w:hAnsi="Times New Roman" w:eastAsia="宋体"/>
          <w:b/>
          <w:snapToGrid w:val="0"/>
          <w:color w:val="FF0000"/>
          <w:kern w:val="10"/>
          <w:sz w:val="36"/>
          <w:szCs w:val="36"/>
        </w:rPr>
      </w:pPr>
    </w:p>
    <w:p>
      <w:pPr>
        <w:pStyle w:val="20"/>
        <w:ind w:firstLine="723"/>
        <w:rPr>
          <w:rFonts w:ascii="Times New Roman" w:hAnsi="Times New Roman" w:eastAsia="宋体" w:cs="Times New Roman"/>
          <w:b/>
          <w:color w:val="FF0000"/>
          <w:kern w:val="10"/>
          <w:sz w:val="36"/>
          <w:szCs w:val="36"/>
        </w:rPr>
      </w:pPr>
    </w:p>
    <w:p>
      <w:pPr>
        <w:pStyle w:val="20"/>
        <w:ind w:firstLine="723"/>
        <w:rPr>
          <w:rFonts w:ascii="Times New Roman" w:hAnsi="Times New Roman" w:eastAsia="宋体" w:cs="Times New Roman"/>
          <w:b/>
          <w:color w:val="FF0000"/>
          <w:kern w:val="10"/>
          <w:sz w:val="36"/>
          <w:szCs w:val="36"/>
        </w:rPr>
      </w:pPr>
    </w:p>
    <w:p>
      <w:pPr>
        <w:pStyle w:val="20"/>
        <w:ind w:firstLine="0" w:firstLineChars="0"/>
        <w:rPr>
          <w:rFonts w:ascii="Times New Roman" w:hAnsi="Times New Roman" w:eastAsia="宋体" w:cs="Times New Roman"/>
          <w:b/>
          <w:color w:val="FF0000"/>
          <w:kern w:val="10"/>
          <w:sz w:val="36"/>
          <w:szCs w:val="36"/>
        </w:rPr>
      </w:pPr>
    </w:p>
    <w:p>
      <w:pPr>
        <w:pStyle w:val="7"/>
        <w:ind w:firstLine="220"/>
      </w:pPr>
    </w:p>
    <w:p>
      <w:pPr>
        <w:jc w:val="center"/>
        <w:rPr>
          <w:rFonts w:ascii="仿宋_GB2312" w:eastAsia="仿宋_GB2312"/>
          <w:b/>
          <w:color w:val="000000"/>
          <w:sz w:val="28"/>
        </w:rPr>
        <w:sectPr>
          <w:footerReference r:id="rId9" w:type="default"/>
          <w:pgSz w:w="11906" w:h="16838"/>
          <w:pgMar w:top="1440" w:right="1800" w:bottom="1440" w:left="1800" w:header="708" w:footer="708" w:gutter="0"/>
          <w:cols w:space="720" w:num="1"/>
          <w:docGrid w:linePitch="360" w:charSpace="0"/>
        </w:sectPr>
      </w:pPr>
      <w:r>
        <w:rPr>
          <w:rFonts w:hint="eastAsia" w:ascii="宋体" w:hAnsi="宋体" w:eastAsia="宋体" w:cs="宋体"/>
          <w:b/>
          <w:snapToGrid w:val="0"/>
          <w:kern w:val="10"/>
          <w:sz w:val="32"/>
          <w:szCs w:val="32"/>
        </w:rPr>
        <w:t>二〇一八年</w:t>
      </w:r>
      <w:r>
        <w:rPr>
          <w:rFonts w:hint="eastAsia" w:ascii="宋体" w:hAnsi="宋体" w:eastAsia="宋体" w:cs="宋体"/>
          <w:b/>
          <w:snapToGrid w:val="0"/>
          <w:kern w:val="10"/>
          <w:sz w:val="32"/>
          <w:szCs w:val="32"/>
          <w:lang w:eastAsia="zh-CN"/>
        </w:rPr>
        <w:t>十二</w:t>
      </w:r>
      <w:r>
        <w:rPr>
          <w:rFonts w:hint="eastAsia" w:ascii="宋体" w:hAnsi="宋体" w:eastAsia="宋体" w:cs="宋体"/>
          <w:b/>
          <w:snapToGrid w:val="0"/>
          <w:kern w:val="10"/>
          <w:sz w:val="32"/>
          <w:szCs w:val="32"/>
        </w:rPr>
        <w:t>月</w:t>
      </w:r>
    </w:p>
    <w:p>
      <w:pPr>
        <w:pStyle w:val="7"/>
        <w:ind w:left="0" w:leftChars="0" w:firstLine="0" w:firstLineChars="0"/>
        <w:rPr>
          <w:rFonts w:hAnsi="Arial" w:eastAsia="仿宋_GB2312"/>
          <w:b/>
          <w:color w:val="000000"/>
          <w:sz w:val="21"/>
          <w:szCs w:val="21"/>
        </w:rPr>
      </w:pPr>
    </w:p>
    <w:p>
      <w:pPr>
        <w:spacing w:line="720" w:lineRule="auto"/>
        <w:ind w:firstLine="0" w:firstLineChars="0"/>
        <w:rPr>
          <w:rFonts w:ascii="仿宋_GB2312" w:eastAsia="仿宋_GB2312"/>
          <w:color w:val="000000"/>
          <w:sz w:val="28"/>
        </w:rPr>
      </w:pPr>
      <w:r>
        <w:rPr>
          <w:rFonts w:hint="eastAsia" w:ascii="仿宋_GB2312" w:eastAsia="仿宋_GB2312"/>
          <w:b/>
          <w:color w:val="000000"/>
          <w:sz w:val="28"/>
        </w:rPr>
        <w:t>建设单位法人代表：</w:t>
      </w:r>
      <w:r>
        <w:rPr>
          <w:rFonts w:hint="eastAsia" w:ascii="仿宋_GB2312" w:eastAsia="仿宋_GB2312"/>
          <w:color w:val="000000"/>
          <w:sz w:val="28"/>
        </w:rPr>
        <w:t xml:space="preserve">          （签章）</w:t>
      </w:r>
    </w:p>
    <w:p>
      <w:pPr>
        <w:spacing w:line="720" w:lineRule="auto"/>
        <w:ind w:firstLine="0" w:firstLineChars="0"/>
        <w:rPr>
          <w:rFonts w:ascii="仿宋_GB2312" w:eastAsia="仿宋_GB2312"/>
          <w:color w:val="000000"/>
          <w:sz w:val="28"/>
        </w:rPr>
      </w:pPr>
      <w:r>
        <w:rPr>
          <w:rFonts w:hint="eastAsia" w:ascii="仿宋_GB2312" w:eastAsia="仿宋_GB2312"/>
          <w:b/>
          <w:color w:val="000000"/>
          <w:sz w:val="28"/>
        </w:rPr>
        <w:t>编制单位法人代表：</w:t>
      </w:r>
      <w:r>
        <w:rPr>
          <w:rFonts w:hint="eastAsia" w:ascii="仿宋_GB2312" w:eastAsia="仿宋_GB2312"/>
          <w:color w:val="000000"/>
          <w:sz w:val="28"/>
        </w:rPr>
        <w:t xml:space="preserve">          （签章）</w:t>
      </w:r>
    </w:p>
    <w:p>
      <w:pPr>
        <w:spacing w:line="720" w:lineRule="auto"/>
        <w:ind w:firstLine="0" w:firstLineChars="0"/>
        <w:rPr>
          <w:rFonts w:ascii="仿宋_GB2312" w:eastAsia="仿宋_GB2312"/>
          <w:b/>
          <w:color w:val="000000"/>
          <w:sz w:val="28"/>
        </w:rPr>
      </w:pPr>
      <w:r>
        <w:rPr>
          <w:rFonts w:ascii="仿宋_GB2312" w:eastAsia="仿宋_GB2312"/>
          <w:b/>
          <w:color w:val="000000"/>
          <w:sz w:val="28"/>
        </w:rPr>
        <w:t>项目负责：</w:t>
      </w:r>
    </w:p>
    <w:p>
      <w:pPr>
        <w:spacing w:line="720" w:lineRule="auto"/>
        <w:ind w:firstLine="0" w:firstLineChars="0"/>
        <w:rPr>
          <w:rFonts w:ascii="仿宋_GB2312" w:eastAsia="仿宋_GB2312"/>
          <w:b/>
          <w:color w:val="000000"/>
          <w:sz w:val="28"/>
        </w:rPr>
      </w:pPr>
      <w:r>
        <w:rPr>
          <w:rFonts w:ascii="仿宋_GB2312" w:eastAsia="仿宋_GB2312"/>
          <w:b/>
          <w:color w:val="000000"/>
          <w:sz w:val="28"/>
        </w:rPr>
        <w:t>报告编制：</w:t>
      </w:r>
    </w:p>
    <w:p>
      <w:pPr>
        <w:pStyle w:val="20"/>
        <w:spacing w:line="480" w:lineRule="auto"/>
        <w:ind w:firstLine="0" w:firstLineChars="0"/>
        <w:rPr>
          <w:rFonts w:ascii="仿宋" w:hAnsi="仿宋" w:eastAsia="仿宋" w:cs="仿宋"/>
          <w:color w:val="191F25"/>
          <w:sz w:val="28"/>
          <w:szCs w:val="28"/>
          <w:shd w:val="clear" w:color="auto" w:fill="FFFFFF"/>
        </w:rPr>
      </w:pPr>
    </w:p>
    <w:p>
      <w:pPr>
        <w:pStyle w:val="20"/>
        <w:ind w:firstLine="0" w:firstLineChars="0"/>
        <w:rPr>
          <w:rFonts w:ascii="仿宋" w:hAnsi="仿宋" w:eastAsia="仿宋" w:cs="仿宋"/>
          <w:color w:val="191F25"/>
          <w:sz w:val="28"/>
          <w:szCs w:val="28"/>
          <w:shd w:val="clear" w:color="auto" w:fill="FFFFFF"/>
        </w:rPr>
      </w:pPr>
    </w:p>
    <w:p>
      <w:pPr>
        <w:spacing w:after="0" w:line="360" w:lineRule="auto"/>
        <w:ind w:left="6708" w:hanging="7998" w:hangingChars="4300"/>
        <w:jc w:val="both"/>
        <w:rPr>
          <w:rFonts w:ascii="仿宋" w:hAnsi="仿宋" w:eastAsia="仿宋" w:cs="仿宋"/>
          <w:color w:val="191F25"/>
          <w:spacing w:val="-27"/>
          <w:sz w:val="24"/>
          <w:szCs w:val="24"/>
          <w:shd w:val="clear" w:color="auto" w:fill="FFFFFF"/>
        </w:rPr>
      </w:pPr>
      <w:r>
        <w:rPr>
          <w:rFonts w:hint="eastAsia" w:ascii="仿宋" w:hAnsi="仿宋" w:eastAsia="仿宋" w:cs="仿宋"/>
          <w:color w:val="191F25"/>
          <w:spacing w:val="-27"/>
          <w:sz w:val="24"/>
          <w:szCs w:val="24"/>
          <w:shd w:val="clear" w:color="auto" w:fill="FFFFFF"/>
        </w:rPr>
        <w:t>建设单位：中国石化销售有限公司贵州黔西南石油分公司（盖章）</w:t>
      </w:r>
    </w:p>
    <w:p>
      <w:pPr>
        <w:spacing w:after="0" w:line="360" w:lineRule="auto"/>
        <w:rPr>
          <w:rFonts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 xml:space="preserve">电话:                                </w:t>
      </w:r>
    </w:p>
    <w:p>
      <w:pPr>
        <w:spacing w:after="0" w:line="360" w:lineRule="auto"/>
        <w:rPr>
          <w:rFonts w:hint="eastAsia"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 xml:space="preserve">传真:                                </w:t>
      </w:r>
    </w:p>
    <w:p>
      <w:pPr>
        <w:spacing w:after="0" w:line="360" w:lineRule="auto"/>
        <w:rPr>
          <w:rFonts w:hint="eastAsia"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 xml:space="preserve">邮编:                                </w:t>
      </w:r>
    </w:p>
    <w:p>
      <w:pPr>
        <w:spacing w:after="0" w:line="360" w:lineRule="auto"/>
        <w:rPr>
          <w:rFonts w:hAnsi="Arial" w:eastAsia="仿宋_GB2312"/>
          <w:b/>
          <w:color w:val="000000"/>
          <w:sz w:val="24"/>
          <w:szCs w:val="24"/>
        </w:rPr>
      </w:pPr>
      <w:r>
        <w:rPr>
          <w:rFonts w:hint="eastAsia" w:ascii="仿宋" w:hAnsi="仿宋" w:eastAsia="仿宋" w:cs="仿宋"/>
          <w:color w:val="191F25"/>
          <w:sz w:val="24"/>
          <w:szCs w:val="24"/>
          <w:shd w:val="clear" w:color="auto" w:fill="FFFFFF"/>
        </w:rPr>
        <w:t xml:space="preserve">地址:                               </w:t>
      </w:r>
    </w:p>
    <w:p>
      <w:pPr>
        <w:spacing w:after="0" w:line="360" w:lineRule="auto"/>
        <w:ind w:left="6708" w:hanging="6708" w:hangingChars="4300"/>
        <w:jc w:val="both"/>
        <w:rPr>
          <w:rFonts w:hint="eastAsia" w:ascii="仿宋" w:hAnsi="仿宋" w:eastAsia="仿宋" w:cs="仿宋"/>
          <w:color w:val="191F25"/>
          <w:spacing w:val="-27"/>
          <w:sz w:val="21"/>
          <w:szCs w:val="21"/>
          <w:shd w:val="clear" w:color="auto" w:fill="FFFFFF"/>
        </w:rPr>
      </w:pPr>
    </w:p>
    <w:p>
      <w:pPr>
        <w:pStyle w:val="20"/>
        <w:rPr>
          <w:rFonts w:hint="eastAsia" w:ascii="仿宋" w:hAnsi="仿宋" w:eastAsia="仿宋" w:cs="仿宋"/>
          <w:color w:val="191F25"/>
          <w:spacing w:val="-27"/>
          <w:sz w:val="21"/>
          <w:szCs w:val="21"/>
          <w:shd w:val="clear" w:color="auto" w:fill="FFFFFF"/>
        </w:rPr>
      </w:pPr>
    </w:p>
    <w:p>
      <w:pPr>
        <w:pStyle w:val="7"/>
        <w:rPr>
          <w:rFonts w:hint="eastAsia"/>
        </w:rPr>
      </w:pPr>
    </w:p>
    <w:p>
      <w:pPr>
        <w:spacing w:after="0" w:line="360" w:lineRule="auto"/>
        <w:ind w:left="6708" w:hanging="7998" w:hangingChars="4300"/>
        <w:jc w:val="both"/>
        <w:rPr>
          <w:rFonts w:ascii="仿宋" w:hAnsi="仿宋" w:eastAsia="仿宋" w:cs="仿宋"/>
          <w:color w:val="191F25"/>
          <w:spacing w:val="-27"/>
          <w:sz w:val="24"/>
          <w:szCs w:val="24"/>
          <w:shd w:val="clear" w:color="auto" w:fill="FFFFFF"/>
        </w:rPr>
      </w:pPr>
      <w:r>
        <w:rPr>
          <w:rFonts w:hint="eastAsia" w:ascii="仿宋" w:hAnsi="仿宋" w:eastAsia="仿宋" w:cs="仿宋"/>
          <w:color w:val="191F25"/>
          <w:spacing w:val="-27"/>
          <w:sz w:val="24"/>
          <w:szCs w:val="24"/>
          <w:shd w:val="clear" w:color="auto" w:fill="FFFFFF"/>
        </w:rPr>
        <w:t>编制单位：贵州省洪鑫环境检测服务有限公司（盖章）</w:t>
      </w:r>
    </w:p>
    <w:p>
      <w:pPr>
        <w:spacing w:after="0" w:line="360" w:lineRule="auto"/>
        <w:rPr>
          <w:rFonts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电话:(0859)3293111</w:t>
      </w:r>
    </w:p>
    <w:p>
      <w:pPr>
        <w:spacing w:after="0" w:line="360" w:lineRule="auto"/>
        <w:rPr>
          <w:rFonts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传真:(0859)3669368</w:t>
      </w:r>
    </w:p>
    <w:p>
      <w:pPr>
        <w:spacing w:after="0" w:line="360" w:lineRule="auto"/>
        <w:rPr>
          <w:rFonts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邮编:gzhxhjjc@163.com</w:t>
      </w:r>
    </w:p>
    <w:p>
      <w:pPr>
        <w:spacing w:after="0" w:line="360" w:lineRule="auto"/>
        <w:rPr>
          <w:rFonts w:ascii="仿宋" w:hAnsi="仿宋" w:eastAsia="仿宋" w:cs="仿宋"/>
          <w:color w:val="191F25"/>
          <w:sz w:val="24"/>
          <w:szCs w:val="24"/>
          <w:shd w:val="clear" w:color="auto" w:fill="FFFFFF"/>
        </w:rPr>
      </w:pPr>
      <w:r>
        <w:rPr>
          <w:rFonts w:hint="eastAsia" w:ascii="仿宋" w:hAnsi="仿宋" w:eastAsia="仿宋" w:cs="仿宋"/>
          <w:color w:val="191F25"/>
          <w:sz w:val="24"/>
          <w:szCs w:val="24"/>
          <w:shd w:val="clear" w:color="auto" w:fill="FFFFFF"/>
        </w:rPr>
        <w:t>地址:贵州省兴义市桔山办桔园村克玛山小区</w:t>
      </w:r>
    </w:p>
    <w:p>
      <w:pPr>
        <w:pStyle w:val="7"/>
        <w:ind w:left="0" w:leftChars="0" w:firstLine="0" w:firstLineChars="0"/>
        <w:rPr>
          <w:rFonts w:hAnsi="Arial" w:eastAsia="仿宋_GB2312"/>
          <w:b/>
          <w:color w:val="000000"/>
          <w:sz w:val="21"/>
          <w:szCs w:val="21"/>
        </w:rPr>
      </w:pPr>
    </w:p>
    <w:p>
      <w:pPr>
        <w:pStyle w:val="7"/>
        <w:ind w:left="0" w:leftChars="0" w:firstLine="0" w:firstLineChars="0"/>
        <w:rPr>
          <w:rFonts w:hAnsi="Arial" w:eastAsia="仿宋_GB2312"/>
          <w:b/>
          <w:color w:val="000000"/>
          <w:sz w:val="21"/>
          <w:szCs w:val="21"/>
        </w:rPr>
      </w:pPr>
    </w:p>
    <w:p>
      <w:pPr>
        <w:pStyle w:val="7"/>
        <w:rPr>
          <w:rFonts w:hAnsi="Arial" w:eastAsia="仿宋_GB2312"/>
          <w:b/>
          <w:color w:val="000000"/>
          <w:sz w:val="21"/>
          <w:szCs w:val="21"/>
        </w:rPr>
        <w:sectPr>
          <w:footerReference r:id="rId10" w:type="default"/>
          <w:pgSz w:w="11906" w:h="16838"/>
          <w:pgMar w:top="1440" w:right="1800" w:bottom="1440" w:left="1800" w:header="708" w:footer="708" w:gutter="0"/>
          <w:pgNumType w:start="1"/>
          <w:cols w:space="720" w:num="1"/>
          <w:docGrid w:linePitch="360" w:charSpace="0"/>
        </w:sectPr>
      </w:pPr>
    </w:p>
    <w:sdt>
      <w:sdtPr>
        <w:rPr>
          <w:rFonts w:ascii="宋体" w:hAnsi="宋体" w:eastAsia="宋体" w:cs="Times New Roman"/>
          <w:sz w:val="21"/>
          <w:szCs w:val="22"/>
          <w:lang w:val="en-US" w:eastAsia="zh-CN" w:bidi="ar-SA"/>
        </w:rPr>
        <w:id w:val="147472122"/>
        <w:docPartObj>
          <w:docPartGallery w:val="Table of Contents"/>
          <w:docPartUnique/>
        </w:docPartObj>
      </w:sdtPr>
      <w:sdtEndPr>
        <w:rPr>
          <w:rFonts w:hint="eastAsia" w:ascii="宋体" w:hAnsi="宋体" w:eastAsia="宋体" w:cs="宋体"/>
          <w:b/>
          <w:bCs/>
          <w:sz w:val="24"/>
          <w:szCs w:val="24"/>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b w:val="0"/>
              <w:bCs w:val="0"/>
              <w:sz w:val="36"/>
              <w:szCs w:val="36"/>
            </w:rPr>
          </w:pPr>
          <w:bookmarkStart w:id="0" w:name="_Toc26110_WPSOffice_Type2"/>
          <w:r>
            <w:rPr>
              <w:rFonts w:ascii="宋体" w:hAnsi="宋体" w:eastAsia="宋体"/>
              <w:b w:val="0"/>
              <w:bCs w:val="0"/>
              <w:sz w:val="36"/>
              <w:szCs w:val="36"/>
            </w:rPr>
            <w:t>目录</w:t>
          </w:r>
        </w:p>
        <w:p>
          <w:pPr>
            <w:pStyle w:val="2"/>
          </w:pP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_Toc19353_WPSOffice_Level1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efd5b888-1407-4cbc-91d4-9eea6c818ba7}"/>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表一  项目基本情况</w:t>
              </w:r>
            </w:sdtContent>
          </w:sdt>
          <w:r>
            <w:rPr>
              <w:rFonts w:hint="eastAsia" w:ascii="宋体" w:hAnsi="宋体" w:eastAsia="宋体" w:cs="宋体"/>
              <w:b w:val="0"/>
              <w:bCs w:val="0"/>
              <w:sz w:val="28"/>
              <w:szCs w:val="28"/>
            </w:rPr>
            <w:tab/>
          </w:r>
          <w:bookmarkStart w:id="1" w:name="_Toc19353_WPSOffice_Level1Page"/>
          <w:r>
            <w:rPr>
              <w:rFonts w:hint="eastAsia" w:ascii="宋体" w:hAnsi="宋体" w:eastAsia="宋体" w:cs="宋体"/>
              <w:b w:val="0"/>
              <w:bCs w:val="0"/>
              <w:sz w:val="28"/>
              <w:szCs w:val="28"/>
            </w:rPr>
            <w:t>1</w:t>
          </w:r>
          <w:bookmarkEnd w:id="1"/>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_Toc26110_WPSOffice_Level1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8924dd00-06e1-4123-b9ce-efe36ea2c25f}"/>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表二  工程建设内容、原料消耗及工艺流程图</w:t>
              </w:r>
            </w:sdtContent>
          </w:sdt>
          <w:r>
            <w:rPr>
              <w:rFonts w:hint="eastAsia" w:ascii="宋体" w:hAnsi="宋体" w:eastAsia="宋体" w:cs="宋体"/>
              <w:b w:val="0"/>
              <w:bCs w:val="0"/>
              <w:sz w:val="28"/>
              <w:szCs w:val="28"/>
            </w:rPr>
            <w:tab/>
          </w:r>
          <w:bookmarkStart w:id="2" w:name="_Toc26110_WPSOffice_Level1Page"/>
          <w:r>
            <w:rPr>
              <w:rFonts w:hint="eastAsia" w:ascii="宋体" w:hAnsi="宋体" w:eastAsia="宋体" w:cs="宋体"/>
              <w:b w:val="0"/>
              <w:bCs w:val="0"/>
              <w:sz w:val="28"/>
              <w:szCs w:val="28"/>
            </w:rPr>
            <w:t>3</w:t>
          </w:r>
          <w:bookmarkEnd w:id="2"/>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_Toc22581_WPSOffice_Level1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75f4b8cf-115e-42a8-843b-b42e7ae7204d}"/>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表三  主要污染源、污染物处理和排放</w:t>
              </w:r>
            </w:sdtContent>
          </w:sdt>
          <w:r>
            <w:rPr>
              <w:rFonts w:hint="eastAsia" w:ascii="宋体" w:hAnsi="宋体" w:eastAsia="宋体" w:cs="宋体"/>
              <w:b w:val="0"/>
              <w:bCs w:val="0"/>
              <w:sz w:val="28"/>
              <w:szCs w:val="28"/>
            </w:rPr>
            <w:tab/>
          </w:r>
          <w:bookmarkStart w:id="3" w:name="_Toc22581_WPSOffice_Level1Page"/>
          <w:r>
            <w:rPr>
              <w:rFonts w:hint="eastAsia" w:ascii="宋体" w:hAnsi="宋体" w:eastAsia="宋体" w:cs="宋体"/>
              <w:b w:val="0"/>
              <w:bCs w:val="0"/>
              <w:sz w:val="28"/>
              <w:szCs w:val="28"/>
            </w:rPr>
            <w:t>5</w:t>
          </w:r>
          <w:bookmarkEnd w:id="3"/>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_Toc2839_WPSOffice_Level1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5c7816a1-a169-41a4-9ab8-76f6918f91cd}"/>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表四  建设项目环境影响报告表主要结论及审批部门审批决定</w:t>
              </w:r>
            </w:sdtContent>
          </w:sdt>
          <w:r>
            <w:rPr>
              <w:rFonts w:hint="eastAsia" w:ascii="宋体" w:hAnsi="宋体" w:eastAsia="宋体" w:cs="宋体"/>
              <w:b w:val="0"/>
              <w:bCs w:val="0"/>
              <w:sz w:val="28"/>
              <w:szCs w:val="28"/>
            </w:rPr>
            <w:tab/>
          </w:r>
          <w:bookmarkStart w:id="4" w:name="_Toc2839_WPSOffice_Level1Page"/>
          <w:r>
            <w:rPr>
              <w:rFonts w:hint="eastAsia" w:ascii="宋体" w:hAnsi="宋体" w:eastAsia="宋体" w:cs="宋体"/>
              <w:b w:val="0"/>
              <w:bCs w:val="0"/>
              <w:sz w:val="28"/>
              <w:szCs w:val="28"/>
            </w:rPr>
            <w:t>7</w:t>
          </w:r>
          <w:bookmarkEnd w:id="4"/>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_Toc29457_WPSOffice_Level1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b5ec63f2-b223-412b-a02b-6d4c8e6412e0}"/>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表五  验收监测质量保证及质量控制</w:t>
              </w:r>
            </w:sdtContent>
          </w:sdt>
          <w:r>
            <w:rPr>
              <w:rFonts w:hint="eastAsia" w:ascii="宋体" w:hAnsi="宋体" w:eastAsia="宋体" w:cs="宋体"/>
              <w:b w:val="0"/>
              <w:bCs w:val="0"/>
              <w:sz w:val="28"/>
              <w:szCs w:val="28"/>
            </w:rPr>
            <w:tab/>
          </w:r>
          <w:bookmarkStart w:id="5" w:name="_Toc29457_WPSOffice_Level1Page"/>
          <w:r>
            <w:rPr>
              <w:rFonts w:hint="eastAsia" w:ascii="宋体" w:hAnsi="宋体" w:eastAsia="宋体" w:cs="宋体"/>
              <w:b w:val="0"/>
              <w:bCs w:val="0"/>
              <w:sz w:val="28"/>
              <w:szCs w:val="28"/>
            </w:rPr>
            <w:t>9</w:t>
          </w:r>
          <w:bookmarkEnd w:id="5"/>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_Toc8627_WPSOffice_Level1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db0a3ed2-9865-444b-b508-49e756575bff}"/>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表六  验收监测内容及分析方法</w:t>
              </w:r>
            </w:sdtContent>
          </w:sdt>
          <w:r>
            <w:rPr>
              <w:rFonts w:hint="eastAsia" w:ascii="宋体" w:hAnsi="宋体" w:eastAsia="宋体" w:cs="宋体"/>
              <w:b w:val="0"/>
              <w:bCs w:val="0"/>
              <w:sz w:val="28"/>
              <w:szCs w:val="28"/>
            </w:rPr>
            <w:tab/>
          </w:r>
          <w:bookmarkStart w:id="6" w:name="_Toc8627_WPSOffice_Level1Page"/>
          <w:r>
            <w:rPr>
              <w:rFonts w:hint="eastAsia" w:ascii="宋体" w:hAnsi="宋体" w:eastAsia="宋体" w:cs="宋体"/>
              <w:b w:val="0"/>
              <w:bCs w:val="0"/>
              <w:sz w:val="28"/>
              <w:szCs w:val="28"/>
            </w:rPr>
            <w:t>10</w:t>
          </w:r>
          <w:bookmarkEnd w:id="6"/>
          <w:r>
            <w:rPr>
              <w:rFonts w:hint="eastAsia" w:ascii="宋体" w:hAnsi="宋体" w:eastAsia="宋体" w:cs="宋体"/>
              <w:b w:val="0"/>
              <w:bCs w:val="0"/>
              <w:sz w:val="28"/>
              <w:szCs w:val="28"/>
            </w:rPr>
            <w:fldChar w:fldCharType="end"/>
          </w:r>
        </w:p>
        <w:p>
          <w:pPr>
            <w:pStyle w:val="53"/>
            <w:tabs>
              <w:tab w:val="right" w:leader="dot" w:pos="8306"/>
            </w:tabs>
            <w:spacing w:line="600" w:lineRule="auto"/>
            <w:ind w:left="0" w:leftChars="0" w:firstLine="0" w:firstLineChars="0"/>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_Toc26110_WPSOffice_Level2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32b97fb6-9242-497d-a760-ceb1d976d3aa}"/>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表七  验收监测结果</w:t>
              </w:r>
            </w:sdtContent>
          </w:sdt>
          <w:r>
            <w:rPr>
              <w:rFonts w:hint="eastAsia" w:ascii="宋体" w:hAnsi="宋体" w:eastAsia="宋体" w:cs="宋体"/>
              <w:b w:val="0"/>
              <w:bCs w:val="0"/>
              <w:sz w:val="28"/>
              <w:szCs w:val="28"/>
            </w:rPr>
            <w:tab/>
          </w:r>
          <w:bookmarkStart w:id="7" w:name="_Toc26110_WPSOffice_Level2Page"/>
          <w:r>
            <w:rPr>
              <w:rFonts w:hint="eastAsia" w:ascii="宋体" w:hAnsi="宋体" w:eastAsia="宋体" w:cs="宋体"/>
              <w:b w:val="0"/>
              <w:bCs w:val="0"/>
              <w:sz w:val="28"/>
              <w:szCs w:val="28"/>
            </w:rPr>
            <w:t>11</w:t>
          </w:r>
          <w:bookmarkEnd w:id="7"/>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val="0"/>
              <w:bCs w:val="0"/>
              <w:sz w:val="28"/>
              <w:szCs w:val="28"/>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_Toc26824_WPSOffice_Level1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ca9c2e95-a5ab-47ab-803e-ef931632e6a7}"/>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rPr>
                <w:t>表八  验收监测结论</w:t>
              </w:r>
            </w:sdtContent>
          </w:sdt>
          <w:r>
            <w:rPr>
              <w:rFonts w:hint="eastAsia" w:ascii="宋体" w:hAnsi="宋体" w:eastAsia="宋体" w:cs="宋体"/>
              <w:b w:val="0"/>
              <w:bCs w:val="0"/>
              <w:sz w:val="28"/>
              <w:szCs w:val="28"/>
            </w:rPr>
            <w:tab/>
          </w:r>
          <w:bookmarkStart w:id="8" w:name="_Toc26824_WPSOffice_Level1Page"/>
          <w:r>
            <w:rPr>
              <w:rFonts w:hint="eastAsia" w:ascii="宋体" w:hAnsi="宋体" w:eastAsia="宋体" w:cs="宋体"/>
              <w:b w:val="0"/>
              <w:bCs w:val="0"/>
              <w:sz w:val="28"/>
              <w:szCs w:val="28"/>
            </w:rPr>
            <w:t>15</w:t>
          </w:r>
          <w:bookmarkEnd w:id="8"/>
          <w:r>
            <w:rPr>
              <w:rFonts w:hint="eastAsia" w:ascii="宋体" w:hAnsi="宋体" w:eastAsia="宋体" w:cs="宋体"/>
              <w:b w:val="0"/>
              <w:bCs w:val="0"/>
              <w:sz w:val="28"/>
              <w:szCs w:val="28"/>
            </w:rPr>
            <w:fldChar w:fldCharType="end"/>
          </w:r>
        </w:p>
        <w:p>
          <w:pPr>
            <w:pStyle w:val="51"/>
            <w:tabs>
              <w:tab w:val="right" w:leader="dot" w:pos="8306"/>
            </w:tabs>
            <w:spacing w:line="600" w:lineRule="auto"/>
            <w:rPr>
              <w:rFonts w:hint="eastAsia" w:ascii="宋体" w:hAnsi="宋体" w:eastAsia="宋体" w:cs="宋体"/>
              <w:b/>
              <w:bCs/>
              <w:sz w:val="24"/>
              <w:szCs w:val="24"/>
            </w:rPr>
          </w:pPr>
          <w:r>
            <w:rPr>
              <w:rFonts w:hint="eastAsia" w:ascii="宋体" w:hAnsi="宋体" w:eastAsia="宋体" w:cs="宋体"/>
              <w:b w:val="0"/>
              <w:bCs w:val="0"/>
              <w:sz w:val="28"/>
              <w:szCs w:val="28"/>
            </w:rPr>
            <w:fldChar w:fldCharType="begin"/>
          </w:r>
          <w:r>
            <w:rPr>
              <w:rFonts w:hint="eastAsia" w:ascii="宋体" w:hAnsi="宋体" w:eastAsia="宋体" w:cs="宋体"/>
              <w:b w:val="0"/>
              <w:bCs w:val="0"/>
              <w:sz w:val="28"/>
              <w:szCs w:val="28"/>
            </w:rPr>
            <w:instrText xml:space="preserve"> HYPERLINK \l _Toc18058_WPSOffice_Level1 </w:instrText>
          </w:r>
          <w:r>
            <w:rPr>
              <w:rFonts w:hint="eastAsia" w:ascii="宋体" w:hAnsi="宋体" w:eastAsia="宋体" w:cs="宋体"/>
              <w:b w:val="0"/>
              <w:bCs w:val="0"/>
              <w:sz w:val="28"/>
              <w:szCs w:val="28"/>
            </w:rPr>
            <w:fldChar w:fldCharType="separate"/>
          </w:r>
          <w:sdt>
            <w:sdtPr>
              <w:rPr>
                <w:rFonts w:hint="eastAsia" w:ascii="宋体" w:hAnsi="宋体" w:eastAsia="宋体" w:cs="宋体"/>
                <w:b w:val="0"/>
                <w:bCs w:val="0"/>
                <w:sz w:val="28"/>
                <w:szCs w:val="28"/>
                <w:lang w:val="en-US" w:eastAsia="zh-CN" w:bidi="ar-SA"/>
              </w:rPr>
              <w:id w:val="147472122"/>
              <w:placeholder>
                <w:docPart w:val="{69723dc1-b8e5-4d0b-bfb3-8e26911eb435}"/>
              </w:placeholder>
            </w:sdtPr>
            <w:sdtEndPr>
              <w:rPr>
                <w:rFonts w:hint="eastAsia" w:ascii="宋体" w:hAnsi="宋体" w:eastAsia="宋体" w:cs="宋体"/>
                <w:b w:val="0"/>
                <w:bCs w:val="0"/>
                <w:sz w:val="28"/>
                <w:szCs w:val="28"/>
                <w:lang w:val="en-US" w:eastAsia="zh-CN" w:bidi="ar-SA"/>
              </w:rPr>
            </w:sdtEndPr>
            <w:sdtContent>
              <w:r>
                <w:rPr>
                  <w:rFonts w:hint="eastAsia" w:ascii="宋体" w:hAnsi="宋体" w:eastAsia="宋体" w:cs="宋体"/>
                  <w:b w:val="0"/>
                  <w:bCs w:val="0"/>
                  <w:sz w:val="28"/>
                  <w:szCs w:val="28"/>
                  <w:lang w:val="en-US" w:eastAsia="zh-CN" w:bidi="ar-SA"/>
                </w:rPr>
                <w:t xml:space="preserve">        附表：</w:t>
              </w:r>
              <w:r>
                <w:rPr>
                  <w:rFonts w:hint="eastAsia" w:ascii="宋体" w:hAnsi="宋体" w:eastAsia="宋体" w:cs="宋体"/>
                  <w:b w:val="0"/>
                  <w:bCs w:val="0"/>
                  <w:sz w:val="28"/>
                  <w:szCs w:val="28"/>
                </w:rPr>
                <w:t>建设项目竣工环境保护“三同时”验收登记表</w:t>
              </w:r>
            </w:sdtContent>
          </w:sdt>
          <w:r>
            <w:rPr>
              <w:rFonts w:hint="eastAsia" w:ascii="宋体" w:hAnsi="宋体" w:eastAsia="宋体" w:cs="宋体"/>
              <w:b w:val="0"/>
              <w:bCs w:val="0"/>
              <w:sz w:val="28"/>
              <w:szCs w:val="28"/>
            </w:rPr>
            <w:tab/>
          </w:r>
          <w:bookmarkStart w:id="9" w:name="_Toc18058_WPSOffice_Level1Page"/>
          <w:r>
            <w:rPr>
              <w:rFonts w:hint="eastAsia" w:ascii="宋体" w:hAnsi="宋体" w:eastAsia="宋体" w:cs="宋体"/>
              <w:b w:val="0"/>
              <w:bCs w:val="0"/>
              <w:sz w:val="28"/>
              <w:szCs w:val="28"/>
            </w:rPr>
            <w:t>16</w:t>
          </w:r>
          <w:bookmarkEnd w:id="9"/>
          <w:r>
            <w:rPr>
              <w:rFonts w:hint="eastAsia" w:ascii="宋体" w:hAnsi="宋体" w:eastAsia="宋体" w:cs="宋体"/>
              <w:b w:val="0"/>
              <w:bCs w:val="0"/>
              <w:sz w:val="28"/>
              <w:szCs w:val="28"/>
            </w:rPr>
            <w:fldChar w:fldCharType="end"/>
          </w:r>
        </w:p>
        <w:bookmarkEnd w:id="0"/>
        <w:p>
          <w:pPr>
            <w:pStyle w:val="53"/>
            <w:tabs>
              <w:tab w:val="right" w:leader="dot" w:pos="8306"/>
            </w:tabs>
            <w:spacing w:line="480" w:lineRule="auto"/>
            <w:rPr>
              <w:rFonts w:hint="eastAsia" w:ascii="宋体" w:hAnsi="宋体" w:eastAsia="宋体" w:cs="宋体"/>
              <w:b/>
              <w:bCs/>
              <w:sz w:val="24"/>
              <w:szCs w:val="24"/>
            </w:rPr>
          </w:pPr>
        </w:p>
      </w:sdtContent>
    </w:sdt>
    <w:p>
      <w:pPr>
        <w:spacing w:after="0"/>
        <w:rPr>
          <w:rFonts w:hint="eastAsia" w:ascii="宋体" w:hAnsi="宋体" w:eastAsia="宋体" w:cs="宋体"/>
          <w:b/>
          <w:color w:val="000000"/>
          <w:sz w:val="32"/>
          <w:szCs w:val="32"/>
        </w:rPr>
      </w:pPr>
    </w:p>
    <w:p>
      <w:pPr>
        <w:spacing w:after="0"/>
        <w:rPr>
          <w:rFonts w:hint="eastAsia" w:ascii="宋体" w:hAnsi="宋体" w:eastAsia="宋体" w:cs="宋体"/>
          <w:b/>
          <w:color w:val="000000"/>
          <w:sz w:val="32"/>
          <w:szCs w:val="32"/>
        </w:rPr>
      </w:pPr>
    </w:p>
    <w:p>
      <w:pPr>
        <w:spacing w:after="0"/>
        <w:rPr>
          <w:rFonts w:hint="eastAsia" w:ascii="宋体" w:hAnsi="宋体" w:eastAsia="宋体" w:cs="宋体"/>
          <w:b/>
          <w:color w:val="000000"/>
          <w:sz w:val="32"/>
          <w:szCs w:val="32"/>
        </w:rPr>
        <w:sectPr>
          <w:footerReference r:id="rId11"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28"/>
          <w:szCs w:val="28"/>
        </w:rPr>
      </w:pPr>
      <w:bookmarkStart w:id="10" w:name="_Toc19353_WPSOffice_Level1"/>
      <w:r>
        <w:rPr>
          <w:rFonts w:hint="eastAsia" w:ascii="宋体" w:hAnsi="宋体" w:eastAsia="宋体" w:cs="宋体"/>
          <w:b/>
          <w:color w:val="000000"/>
          <w:sz w:val="28"/>
          <w:szCs w:val="28"/>
        </w:rPr>
        <w:t xml:space="preserve">表一  </w:t>
      </w:r>
      <w:r>
        <w:rPr>
          <w:rFonts w:hint="default" w:ascii="Times New Roman" w:hAnsi="Times New Roman" w:eastAsia="宋体" w:cs="Times New Roman"/>
          <w:b/>
          <w:color w:val="000000"/>
          <w:sz w:val="28"/>
          <w:szCs w:val="28"/>
          <w:lang w:val="en-US" w:eastAsia="zh-CN"/>
        </w:rPr>
        <w:t>项目基本情况</w:t>
      </w:r>
      <w:bookmarkEnd w:id="10"/>
    </w:p>
    <w:tbl>
      <w:tblPr>
        <w:tblStyle w:val="18"/>
        <w:tblW w:w="908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1980"/>
        <w:gridCol w:w="1988"/>
        <w:gridCol w:w="1014"/>
        <w:gridCol w:w="786"/>
        <w:gridCol w:w="12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建设项目名称</w:t>
            </w:r>
          </w:p>
        </w:tc>
        <w:tc>
          <w:tcPr>
            <w:tcW w:w="6991" w:type="dxa"/>
            <w:gridSpan w:val="5"/>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中国石化销售有限公司贵州黔西南石油分公司晴隆油库建设项目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建设单位名称</w:t>
            </w:r>
          </w:p>
        </w:tc>
        <w:tc>
          <w:tcPr>
            <w:tcW w:w="6991" w:type="dxa"/>
            <w:gridSpan w:val="5"/>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中国石化销售有限公司贵州黔西南石油分公司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建设项目性质</w:t>
            </w:r>
          </w:p>
        </w:tc>
        <w:tc>
          <w:tcPr>
            <w:tcW w:w="6991" w:type="dxa"/>
            <w:gridSpan w:val="5"/>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建设地点</w:t>
            </w:r>
          </w:p>
        </w:tc>
        <w:tc>
          <w:tcPr>
            <w:tcW w:w="6991" w:type="dxa"/>
            <w:gridSpan w:val="5"/>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晴隆县沙子镇沙子村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主要产品名称</w:t>
            </w:r>
          </w:p>
        </w:tc>
        <w:tc>
          <w:tcPr>
            <w:tcW w:w="6991" w:type="dxa"/>
            <w:gridSpan w:val="5"/>
          </w:tcPr>
          <w:p>
            <w:pPr>
              <w:spacing w:after="0" w:line="240" w:lineRule="auto"/>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汽油、柴油储存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设计生产能力</w:t>
            </w:r>
          </w:p>
        </w:tc>
        <w:tc>
          <w:tcPr>
            <w:tcW w:w="6991" w:type="dxa"/>
            <w:gridSpan w:val="5"/>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CN"/>
              </w:rPr>
              <w:t>储存</w:t>
            </w:r>
            <w:r>
              <w:rPr>
                <w:rFonts w:hint="eastAsia" w:ascii="宋体" w:hAnsi="宋体" w:eastAsia="宋体" w:cs="宋体"/>
                <w:color w:val="000000"/>
                <w:sz w:val="24"/>
                <w:szCs w:val="24"/>
              </w:rPr>
              <w:t>12000</w:t>
            </w:r>
            <w:r>
              <w:rPr>
                <w:rFonts w:hint="eastAsia" w:ascii="宋体" w:hAnsi="宋体" w:eastAsia="宋体" w:cs="宋体"/>
                <w:color w:val="000000"/>
                <w:sz w:val="24"/>
                <w:szCs w:val="24"/>
                <w:lang w:val="en-US" w:eastAsia="zh-CN"/>
              </w:rPr>
              <w:t>m³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实际生产能力</w:t>
            </w:r>
          </w:p>
        </w:tc>
        <w:tc>
          <w:tcPr>
            <w:tcW w:w="6991" w:type="dxa"/>
            <w:gridSpan w:val="5"/>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0000</w:t>
            </w:r>
            <w:r>
              <w:rPr>
                <w:rFonts w:hint="eastAsia" w:ascii="宋体" w:hAnsi="宋体" w:eastAsia="宋体" w:cs="宋体"/>
                <w:color w:val="000000"/>
                <w:sz w:val="24"/>
                <w:szCs w:val="24"/>
              </w:rPr>
              <w:t>m³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建设项目</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环评时间</w:t>
            </w:r>
          </w:p>
        </w:tc>
        <w:tc>
          <w:tcPr>
            <w:tcW w:w="1980"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201</w:t>
            </w:r>
            <w:r>
              <w:rPr>
                <w:rFonts w:hint="eastAsia" w:ascii="宋体" w:hAnsi="宋体" w:eastAsia="宋体" w:cs="宋体"/>
                <w:color w:val="000000"/>
                <w:sz w:val="24"/>
                <w:szCs w:val="24"/>
                <w:lang w:val="en-US" w:eastAsia="zh-CN"/>
              </w:rPr>
              <w:t>7</w:t>
            </w:r>
            <w:r>
              <w:rPr>
                <w:rFonts w:hint="eastAsia" w:ascii="宋体" w:hAnsi="宋体" w:eastAsia="宋体" w:cs="宋体"/>
                <w:color w:val="000000"/>
                <w:sz w:val="24"/>
                <w:szCs w:val="24"/>
              </w:rPr>
              <w:t>年</w:t>
            </w:r>
            <w:r>
              <w:rPr>
                <w:rFonts w:hint="eastAsia" w:ascii="宋体" w:hAnsi="宋体" w:eastAsia="宋体" w:cs="宋体"/>
                <w:color w:val="000000"/>
                <w:sz w:val="24"/>
                <w:szCs w:val="24"/>
                <w:lang w:val="en-US" w:eastAsia="zh-CN"/>
              </w:rPr>
              <w:t>12</w:t>
            </w:r>
            <w:r>
              <w:rPr>
                <w:rFonts w:hint="eastAsia" w:ascii="宋体" w:hAnsi="宋体" w:eastAsia="宋体" w:cs="宋体"/>
                <w:color w:val="000000"/>
                <w:sz w:val="24"/>
                <w:szCs w:val="24"/>
              </w:rPr>
              <w:t>月</w:t>
            </w:r>
          </w:p>
        </w:tc>
        <w:tc>
          <w:tcPr>
            <w:tcW w:w="1988"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开工建设时间</w:t>
            </w:r>
          </w:p>
        </w:tc>
        <w:tc>
          <w:tcPr>
            <w:tcW w:w="3023" w:type="dxa"/>
            <w:gridSpan w:val="3"/>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2006年5月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调试时间</w:t>
            </w:r>
          </w:p>
        </w:tc>
        <w:tc>
          <w:tcPr>
            <w:tcW w:w="1980" w:type="dxa"/>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2008年3月</w:t>
            </w:r>
          </w:p>
        </w:tc>
        <w:tc>
          <w:tcPr>
            <w:tcW w:w="1988"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验收现场</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监测时间</w:t>
            </w:r>
          </w:p>
        </w:tc>
        <w:tc>
          <w:tcPr>
            <w:tcW w:w="3023" w:type="dxa"/>
            <w:gridSpan w:val="3"/>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2018年</w:t>
            </w:r>
            <w:r>
              <w:rPr>
                <w:rFonts w:hint="eastAsia" w:ascii="宋体" w:hAnsi="宋体" w:eastAsia="宋体" w:cs="宋体"/>
                <w:color w:val="000000"/>
                <w:sz w:val="24"/>
                <w:szCs w:val="24"/>
                <w:lang w:val="en-US" w:eastAsia="zh-CN"/>
              </w:rPr>
              <w:t>8</w:t>
            </w:r>
            <w:r>
              <w:rPr>
                <w:rFonts w:hint="eastAsia" w:ascii="宋体" w:hAnsi="宋体" w:eastAsia="宋体" w:cs="宋体"/>
                <w:color w:val="000000"/>
                <w:sz w:val="24"/>
                <w:szCs w:val="24"/>
              </w:rPr>
              <w:t>月</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日</w:t>
            </w:r>
          </w:p>
          <w:p>
            <w:pPr>
              <w:spacing w:after="0" w:line="240" w:lineRule="auto"/>
              <w:jc w:val="center"/>
              <w:rPr>
                <w:rFonts w:hint="eastAsia" w:ascii="宋体" w:hAnsi="宋体" w:eastAsia="宋体" w:cs="宋体"/>
                <w:sz w:val="24"/>
                <w:szCs w:val="24"/>
              </w:rPr>
            </w:pPr>
            <w:r>
              <w:rPr>
                <w:rFonts w:hint="eastAsia" w:ascii="宋体" w:hAnsi="宋体" w:eastAsia="宋体" w:cs="宋体"/>
                <w:color w:val="000000"/>
                <w:sz w:val="24"/>
                <w:szCs w:val="24"/>
              </w:rPr>
              <w:t>2018年</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月</w:t>
            </w:r>
            <w:r>
              <w:rPr>
                <w:rFonts w:hint="eastAsia" w:ascii="宋体" w:hAnsi="宋体" w:eastAsia="宋体" w:cs="宋体"/>
                <w:color w:val="000000"/>
                <w:sz w:val="24"/>
                <w:szCs w:val="24"/>
                <w:lang w:val="en-US" w:eastAsia="zh-CN"/>
              </w:rPr>
              <w:t>4-5</w:t>
            </w:r>
            <w:r>
              <w:rPr>
                <w:rFonts w:hint="eastAsia" w:ascii="宋体" w:hAnsi="宋体" w:eastAsia="宋体" w:cs="宋体"/>
                <w:color w:val="000000"/>
                <w:sz w:val="24"/>
                <w:szCs w:val="24"/>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审批部门</w:t>
            </w:r>
          </w:p>
        </w:tc>
        <w:tc>
          <w:tcPr>
            <w:tcW w:w="1980"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晴隆县</w:t>
            </w:r>
            <w:r>
              <w:rPr>
                <w:rFonts w:hint="eastAsia" w:ascii="宋体" w:hAnsi="宋体" w:eastAsia="宋体" w:cs="宋体"/>
                <w:color w:val="000000"/>
                <w:sz w:val="24"/>
                <w:szCs w:val="24"/>
              </w:rPr>
              <w:t>环境</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保护局</w:t>
            </w:r>
          </w:p>
        </w:tc>
        <w:tc>
          <w:tcPr>
            <w:tcW w:w="1988"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环评报告表</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编制单位</w:t>
            </w:r>
          </w:p>
        </w:tc>
        <w:tc>
          <w:tcPr>
            <w:tcW w:w="3023" w:type="dxa"/>
            <w:gridSpan w:val="3"/>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贵州绿宏环保科技</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设计单位</w:t>
            </w:r>
          </w:p>
        </w:tc>
        <w:tc>
          <w:tcPr>
            <w:tcW w:w="1980" w:type="dxa"/>
            <w:vAlign w:val="center"/>
          </w:tcPr>
          <w:p>
            <w:pPr>
              <w:spacing w:after="0" w:line="240" w:lineRule="auto"/>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洛阳设计院</w:t>
            </w:r>
          </w:p>
        </w:tc>
        <w:tc>
          <w:tcPr>
            <w:tcW w:w="1988"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环保设施</w:t>
            </w:r>
          </w:p>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施工单位</w:t>
            </w:r>
          </w:p>
        </w:tc>
        <w:tc>
          <w:tcPr>
            <w:tcW w:w="3023" w:type="dxa"/>
            <w:gridSpan w:val="3"/>
            <w:vAlign w:val="center"/>
          </w:tcPr>
          <w:p>
            <w:pPr>
              <w:spacing w:after="0" w:line="240" w:lineRule="auto"/>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CN"/>
              </w:rPr>
              <w:t>江苏油建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11"/>
                <w:sz w:val="24"/>
                <w:szCs w:val="24"/>
              </w:rPr>
              <w:t>投资总概</w:t>
            </w:r>
          </w:p>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sz w:val="24"/>
                <w:szCs w:val="24"/>
                <w:lang w:val="en-US" w:eastAsia="zh-CN"/>
              </w:rPr>
              <w:t>3000</w:t>
            </w:r>
          </w:p>
        </w:tc>
        <w:tc>
          <w:tcPr>
            <w:tcW w:w="1988" w:type="dxa"/>
            <w:vAlign w:val="center"/>
          </w:tcPr>
          <w:p>
            <w:pPr>
              <w:spacing w:after="0" w:line="240" w:lineRule="auto"/>
              <w:jc w:val="center"/>
              <w:rPr>
                <w:rFonts w:hint="eastAsia" w:ascii="宋体" w:hAnsi="宋体" w:eastAsia="宋体" w:cs="宋体"/>
                <w:color w:val="000000"/>
                <w:spacing w:val="-34"/>
                <w:sz w:val="24"/>
                <w:szCs w:val="24"/>
              </w:rPr>
            </w:pPr>
            <w:r>
              <w:rPr>
                <w:rFonts w:hint="eastAsia" w:ascii="宋体" w:hAnsi="宋体" w:eastAsia="宋体" w:cs="宋体"/>
                <w:color w:val="000000"/>
                <w:spacing w:val="-34"/>
                <w:sz w:val="24"/>
                <w:szCs w:val="24"/>
              </w:rPr>
              <w:t>环保投资</w:t>
            </w:r>
          </w:p>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34"/>
                <w:sz w:val="24"/>
                <w:szCs w:val="24"/>
              </w:rPr>
              <w:t>总概算（万元）</w:t>
            </w:r>
          </w:p>
        </w:tc>
        <w:tc>
          <w:tcPr>
            <w:tcW w:w="1014" w:type="dxa"/>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101</w:t>
            </w:r>
          </w:p>
        </w:tc>
        <w:tc>
          <w:tcPr>
            <w:tcW w:w="786"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3.37</w:t>
            </w:r>
            <w:r>
              <w:rPr>
                <w:rFonts w:hint="eastAsia" w:ascii="宋体" w:hAnsi="宋体" w:eastAsia="宋体" w:cs="宋体"/>
                <w:color w:val="000000"/>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092" w:type="dxa"/>
            <w:vAlign w:val="center"/>
          </w:tcPr>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11"/>
                <w:sz w:val="24"/>
                <w:szCs w:val="24"/>
              </w:rPr>
              <w:t>实际总概</w:t>
            </w:r>
          </w:p>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11"/>
                <w:sz w:val="24"/>
                <w:szCs w:val="24"/>
              </w:rPr>
              <w:t>算（万元）</w:t>
            </w:r>
          </w:p>
        </w:tc>
        <w:tc>
          <w:tcPr>
            <w:tcW w:w="1980" w:type="dxa"/>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sz w:val="24"/>
                <w:szCs w:val="24"/>
                <w:lang w:val="en-US" w:eastAsia="zh-CN"/>
              </w:rPr>
              <w:t>3000</w:t>
            </w:r>
          </w:p>
        </w:tc>
        <w:tc>
          <w:tcPr>
            <w:tcW w:w="1988" w:type="dxa"/>
            <w:vAlign w:val="center"/>
          </w:tcPr>
          <w:p>
            <w:pPr>
              <w:spacing w:after="0" w:line="240" w:lineRule="auto"/>
              <w:jc w:val="center"/>
              <w:rPr>
                <w:rFonts w:hint="eastAsia" w:ascii="宋体" w:hAnsi="宋体" w:eastAsia="宋体" w:cs="宋体"/>
                <w:color w:val="000000"/>
                <w:spacing w:val="-11"/>
                <w:sz w:val="24"/>
                <w:szCs w:val="24"/>
              </w:rPr>
            </w:pPr>
            <w:r>
              <w:rPr>
                <w:rFonts w:hint="eastAsia" w:ascii="宋体" w:hAnsi="宋体" w:eastAsia="宋体" w:cs="宋体"/>
                <w:color w:val="000000"/>
                <w:spacing w:val="-11"/>
                <w:sz w:val="24"/>
                <w:szCs w:val="24"/>
              </w:rPr>
              <w:t>环保投资(万元）</w:t>
            </w:r>
          </w:p>
        </w:tc>
        <w:tc>
          <w:tcPr>
            <w:tcW w:w="1014" w:type="dxa"/>
            <w:vAlign w:val="center"/>
          </w:tcPr>
          <w:p>
            <w:pPr>
              <w:spacing w:after="0"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101</w:t>
            </w:r>
          </w:p>
        </w:tc>
        <w:tc>
          <w:tcPr>
            <w:tcW w:w="786"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比例</w:t>
            </w:r>
          </w:p>
        </w:tc>
        <w:tc>
          <w:tcPr>
            <w:tcW w:w="1223"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3.37</w:t>
            </w:r>
            <w:r>
              <w:rPr>
                <w:rFonts w:hint="eastAsia" w:ascii="宋体" w:hAnsi="宋体" w:eastAsia="宋体" w:cs="宋体"/>
                <w:color w:val="000000"/>
                <w:sz w:val="24"/>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92" w:type="dxa"/>
            <w:vAlign w:val="center"/>
          </w:tcPr>
          <w:p>
            <w:pPr>
              <w:spacing w:after="0" w:line="240" w:lineRule="auto"/>
              <w:jc w:val="center"/>
              <w:rPr>
                <w:rFonts w:hint="eastAsia" w:ascii="宋体" w:hAnsi="宋体" w:eastAsia="宋体" w:cs="宋体"/>
                <w:color w:val="000000"/>
                <w:sz w:val="24"/>
                <w:szCs w:val="24"/>
              </w:rPr>
            </w:pPr>
            <w:r>
              <w:rPr>
                <w:rFonts w:hint="eastAsia" w:ascii="宋体" w:hAnsi="宋体" w:eastAsia="宋体" w:cs="宋体"/>
                <w:color w:val="000000"/>
                <w:sz w:val="24"/>
                <w:szCs w:val="24"/>
              </w:rPr>
              <w:t>验收监测依据</w:t>
            </w:r>
          </w:p>
        </w:tc>
        <w:tc>
          <w:tcPr>
            <w:tcW w:w="6991" w:type="dxa"/>
            <w:gridSpan w:val="5"/>
            <w:vAlign w:val="center"/>
          </w:tcPr>
          <w:p>
            <w:pPr>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458" w:firstLineChars="200"/>
              <w:textAlignment w:val="auto"/>
              <w:outlineLvl w:val="9"/>
              <w:rPr>
                <w:rFonts w:hint="eastAsia" w:ascii="宋体" w:hAnsi="宋体" w:eastAsia="宋体" w:cs="宋体"/>
                <w:b/>
                <w:bCs/>
                <w:color w:val="000000"/>
                <w:spacing w:val="-6"/>
                <w:sz w:val="24"/>
                <w:szCs w:val="24"/>
              </w:rPr>
            </w:pPr>
            <w:r>
              <w:rPr>
                <w:rFonts w:hint="eastAsia" w:ascii="宋体" w:hAnsi="宋体" w:eastAsia="宋体" w:cs="宋体"/>
                <w:b/>
                <w:bCs/>
                <w:color w:val="000000"/>
                <w:spacing w:val="-6"/>
                <w:sz w:val="24"/>
                <w:szCs w:val="24"/>
              </w:rPr>
              <w:t>1、环境保护法律、法规</w:t>
            </w:r>
          </w:p>
          <w:p>
            <w:pPr>
              <w:keepNext w:val="0"/>
              <w:keepLines w:val="0"/>
              <w:pageBreakBefore w:val="0"/>
              <w:widowControl/>
              <w:kinsoku/>
              <w:wordWrap/>
              <w:overflowPunct/>
              <w:topLinePunct w:val="0"/>
              <w:autoSpaceDE/>
              <w:autoSpaceDN/>
              <w:bidi w:val="0"/>
              <w:adjustRightInd w:val="0"/>
              <w:snapToGrid w:val="0"/>
              <w:spacing w:after="0" w:line="400" w:lineRule="exact"/>
              <w:ind w:firstLine="456" w:firstLineChars="200"/>
              <w:textAlignment w:val="auto"/>
              <w:rPr>
                <w:rFonts w:hint="eastAsia" w:ascii="宋体" w:hAnsi="宋体" w:eastAsia="宋体" w:cs="宋体"/>
                <w:spacing w:val="-6"/>
                <w:sz w:val="24"/>
                <w:szCs w:val="24"/>
              </w:rPr>
            </w:pPr>
            <w:r>
              <w:rPr>
                <w:rFonts w:hint="eastAsia" w:ascii="宋体" w:hAnsi="宋体" w:eastAsia="宋体" w:cs="宋体"/>
                <w:spacing w:val="-6"/>
                <w:sz w:val="24"/>
                <w:szCs w:val="24"/>
              </w:rPr>
              <w:t>（1）《中华人民共和国环境保护法》，2015年1月1日；</w:t>
            </w:r>
          </w:p>
          <w:p>
            <w:pPr>
              <w:keepNext w:val="0"/>
              <w:keepLines w:val="0"/>
              <w:pageBreakBefore w:val="0"/>
              <w:widowControl/>
              <w:kinsoku/>
              <w:wordWrap/>
              <w:overflowPunct/>
              <w:topLinePunct w:val="0"/>
              <w:autoSpaceDE/>
              <w:autoSpaceDN/>
              <w:bidi w:val="0"/>
              <w:adjustRightInd w:val="0"/>
              <w:snapToGrid w:val="0"/>
              <w:spacing w:after="0" w:line="320" w:lineRule="exact"/>
              <w:ind w:firstLine="456" w:firstLineChars="200"/>
              <w:textAlignment w:val="auto"/>
              <w:outlineLvl w:val="9"/>
              <w:rPr>
                <w:rFonts w:hint="eastAsia" w:ascii="宋体" w:hAnsi="宋体" w:eastAsia="宋体" w:cs="宋体"/>
                <w:spacing w:val="-6"/>
                <w:sz w:val="24"/>
                <w:szCs w:val="24"/>
              </w:rPr>
            </w:pPr>
            <w:r>
              <w:rPr>
                <w:rFonts w:hint="eastAsia" w:ascii="宋体" w:hAnsi="宋体" w:eastAsia="宋体" w:cs="宋体"/>
                <w:spacing w:val="-6"/>
                <w:sz w:val="24"/>
                <w:szCs w:val="24"/>
              </w:rPr>
              <w:t>（2）《中华人民共和国大气污染防治法》，2016年1月1日；</w:t>
            </w:r>
          </w:p>
          <w:p>
            <w:pPr>
              <w:keepNext w:val="0"/>
              <w:keepLines w:val="0"/>
              <w:pageBreakBefore w:val="0"/>
              <w:widowControl/>
              <w:kinsoku/>
              <w:wordWrap/>
              <w:overflowPunct/>
              <w:topLinePunct w:val="0"/>
              <w:autoSpaceDE/>
              <w:autoSpaceDN/>
              <w:bidi w:val="0"/>
              <w:adjustRightInd w:val="0"/>
              <w:snapToGrid w:val="0"/>
              <w:spacing w:after="0" w:line="320" w:lineRule="exact"/>
              <w:ind w:firstLine="456" w:firstLineChars="200"/>
              <w:textAlignment w:val="auto"/>
              <w:outlineLvl w:val="9"/>
              <w:rPr>
                <w:rFonts w:hint="eastAsia" w:ascii="宋体" w:hAnsi="宋体" w:eastAsia="宋体" w:cs="宋体"/>
                <w:spacing w:val="-6"/>
                <w:sz w:val="24"/>
                <w:szCs w:val="24"/>
              </w:rPr>
            </w:pPr>
            <w:r>
              <w:rPr>
                <w:rFonts w:hint="eastAsia" w:ascii="宋体" w:hAnsi="宋体" w:eastAsia="宋体" w:cs="宋体"/>
                <w:spacing w:val="-6"/>
                <w:sz w:val="24"/>
                <w:szCs w:val="24"/>
              </w:rPr>
              <w:t>（3）《中华人民共和国水污染防治法》，2017年6月27日修订；</w:t>
            </w:r>
          </w:p>
          <w:p>
            <w:pPr>
              <w:keepNext w:val="0"/>
              <w:keepLines w:val="0"/>
              <w:pageBreakBefore w:val="0"/>
              <w:widowControl/>
              <w:kinsoku/>
              <w:wordWrap/>
              <w:overflowPunct/>
              <w:topLinePunct w:val="0"/>
              <w:autoSpaceDE/>
              <w:autoSpaceDN/>
              <w:bidi w:val="0"/>
              <w:adjustRightInd w:val="0"/>
              <w:snapToGrid w:val="0"/>
              <w:spacing w:after="0" w:line="320" w:lineRule="exact"/>
              <w:ind w:firstLine="456" w:firstLineChars="200"/>
              <w:textAlignment w:val="auto"/>
              <w:outlineLvl w:val="9"/>
              <w:rPr>
                <w:rFonts w:hint="eastAsia" w:ascii="宋体" w:hAnsi="宋体" w:eastAsia="宋体" w:cs="宋体"/>
                <w:spacing w:val="-6"/>
                <w:sz w:val="24"/>
                <w:szCs w:val="24"/>
              </w:rPr>
            </w:pPr>
            <w:r>
              <w:rPr>
                <w:rFonts w:hint="eastAsia" w:ascii="宋体" w:hAnsi="宋体" w:eastAsia="宋体" w:cs="宋体"/>
                <w:spacing w:val="-6"/>
                <w:sz w:val="24"/>
                <w:szCs w:val="24"/>
              </w:rPr>
              <w:t>（4）《中华人民共和国环境噪声污染防治法》，1997年3月1日；</w:t>
            </w:r>
          </w:p>
          <w:p>
            <w:pPr>
              <w:keepNext w:val="0"/>
              <w:keepLines w:val="0"/>
              <w:pageBreakBefore w:val="0"/>
              <w:widowControl/>
              <w:kinsoku/>
              <w:wordWrap/>
              <w:overflowPunct/>
              <w:topLinePunct w:val="0"/>
              <w:autoSpaceDE/>
              <w:autoSpaceDN/>
              <w:bidi w:val="0"/>
              <w:adjustRightInd w:val="0"/>
              <w:snapToGrid w:val="0"/>
              <w:spacing w:after="0" w:line="320" w:lineRule="exact"/>
              <w:ind w:firstLine="456" w:firstLineChars="200"/>
              <w:textAlignment w:val="auto"/>
              <w:outlineLvl w:val="9"/>
              <w:rPr>
                <w:rFonts w:hint="eastAsia" w:ascii="宋体" w:hAnsi="宋体" w:eastAsia="宋体" w:cs="宋体"/>
                <w:spacing w:val="-6"/>
                <w:sz w:val="24"/>
                <w:szCs w:val="24"/>
              </w:rPr>
            </w:pPr>
            <w:r>
              <w:rPr>
                <w:rFonts w:hint="eastAsia" w:ascii="宋体" w:hAnsi="宋体" w:eastAsia="宋体" w:cs="宋体"/>
                <w:spacing w:val="-6"/>
                <w:sz w:val="24"/>
                <w:szCs w:val="24"/>
              </w:rPr>
              <w:t>（5）《中华人民共和国固体废物污染环境防治法》，2016年11月7日修订；</w:t>
            </w:r>
          </w:p>
          <w:p>
            <w:pPr>
              <w:keepNext w:val="0"/>
              <w:keepLines w:val="0"/>
              <w:pageBreakBefore w:val="0"/>
              <w:widowControl/>
              <w:kinsoku/>
              <w:wordWrap/>
              <w:overflowPunct/>
              <w:topLinePunct w:val="0"/>
              <w:autoSpaceDE/>
              <w:autoSpaceDN/>
              <w:bidi w:val="0"/>
              <w:adjustRightInd w:val="0"/>
              <w:snapToGrid w:val="0"/>
              <w:spacing w:after="0" w:line="400" w:lineRule="exact"/>
              <w:ind w:firstLine="456" w:firstLineChars="200"/>
              <w:textAlignment w:val="auto"/>
              <w:rPr>
                <w:rFonts w:hint="eastAsia" w:ascii="宋体" w:hAnsi="宋体" w:eastAsia="宋体" w:cs="宋体"/>
                <w:spacing w:val="-6"/>
                <w:sz w:val="24"/>
                <w:szCs w:val="24"/>
              </w:rPr>
            </w:pPr>
            <w:r>
              <w:rPr>
                <w:rFonts w:hint="eastAsia" w:ascii="宋体" w:hAnsi="宋体" w:eastAsia="宋体" w:cs="宋体"/>
                <w:spacing w:val="-6"/>
                <w:sz w:val="24"/>
                <w:szCs w:val="24"/>
              </w:rPr>
              <w:t>（6）《贵州省水污染防治条例》，2018年2月1日；</w:t>
            </w:r>
          </w:p>
          <w:p>
            <w:pPr>
              <w:keepNext w:val="0"/>
              <w:keepLines w:val="0"/>
              <w:pageBreakBefore w:val="0"/>
              <w:widowControl/>
              <w:kinsoku/>
              <w:wordWrap/>
              <w:overflowPunct/>
              <w:topLinePunct w:val="0"/>
              <w:autoSpaceDE/>
              <w:autoSpaceDN/>
              <w:bidi w:val="0"/>
              <w:adjustRightInd w:val="0"/>
              <w:snapToGrid w:val="0"/>
              <w:spacing w:after="0" w:line="400" w:lineRule="exact"/>
              <w:ind w:firstLine="456" w:firstLineChars="200"/>
              <w:textAlignment w:val="auto"/>
              <w:rPr>
                <w:rFonts w:hint="eastAsia" w:ascii="宋体" w:hAnsi="宋体" w:eastAsia="宋体" w:cs="宋体"/>
                <w:spacing w:val="-6"/>
                <w:sz w:val="24"/>
                <w:szCs w:val="24"/>
              </w:rPr>
            </w:pPr>
            <w:r>
              <w:rPr>
                <w:rFonts w:hint="eastAsia" w:ascii="宋体" w:hAnsi="宋体" w:eastAsia="宋体" w:cs="宋体"/>
                <w:spacing w:val="-6"/>
                <w:sz w:val="24"/>
                <w:szCs w:val="24"/>
              </w:rPr>
              <w:t>（7）《贵州省大气污染防治条例》，2016年9月1日；</w:t>
            </w:r>
          </w:p>
          <w:p>
            <w:pPr>
              <w:keepNext w:val="0"/>
              <w:keepLines w:val="0"/>
              <w:pageBreakBefore w:val="0"/>
              <w:widowControl/>
              <w:kinsoku/>
              <w:wordWrap/>
              <w:overflowPunct/>
              <w:topLinePunct w:val="0"/>
              <w:autoSpaceDE/>
              <w:autoSpaceDN/>
              <w:bidi w:val="0"/>
              <w:adjustRightInd w:val="0"/>
              <w:snapToGrid w:val="0"/>
              <w:spacing w:after="0" w:line="400" w:lineRule="exact"/>
              <w:ind w:left="480" w:leftChars="218" w:firstLine="0" w:firstLineChars="0"/>
              <w:textAlignment w:val="auto"/>
              <w:rPr>
                <w:rFonts w:hint="eastAsia" w:ascii="宋体" w:hAnsi="宋体" w:eastAsia="宋体" w:cs="宋体"/>
                <w:color w:val="000000"/>
                <w:spacing w:val="-6"/>
                <w:sz w:val="24"/>
                <w:szCs w:val="24"/>
              </w:rPr>
            </w:pPr>
            <w:r>
              <w:rPr>
                <w:rFonts w:hint="eastAsia" w:ascii="宋体" w:hAnsi="宋体" w:eastAsia="宋体" w:cs="宋体"/>
                <w:spacing w:val="-6"/>
                <w:sz w:val="24"/>
                <w:szCs w:val="24"/>
              </w:rPr>
              <w:t>（8）《贵州省环境噪声污染防治条例》，2017年9月30日</w:t>
            </w:r>
            <w:r>
              <w:rPr>
                <w:rFonts w:hint="eastAsia" w:ascii="宋体" w:hAnsi="宋体" w:eastAsia="宋体" w:cs="宋体"/>
                <w:b/>
                <w:bCs/>
                <w:color w:val="000000"/>
                <w:spacing w:val="-6"/>
                <w:sz w:val="24"/>
                <w:szCs w:val="24"/>
              </w:rPr>
              <w:t>2、建设项目竣工环境保护验收技术规范</w:t>
            </w:r>
          </w:p>
          <w:p>
            <w:pPr>
              <w:keepNext w:val="0"/>
              <w:keepLines w:val="0"/>
              <w:pageBreakBefore w:val="0"/>
              <w:widowControl/>
              <w:kinsoku/>
              <w:wordWrap/>
              <w:overflowPunct/>
              <w:topLinePunct w:val="0"/>
              <w:autoSpaceDE/>
              <w:autoSpaceDN/>
              <w:bidi w:val="0"/>
              <w:adjustRightInd w:val="0"/>
              <w:snapToGrid w:val="0"/>
              <w:spacing w:after="0" w:line="400" w:lineRule="exact"/>
              <w:ind w:firstLine="456" w:firstLineChars="200"/>
              <w:textAlignment w:val="auto"/>
              <w:rPr>
                <w:rFonts w:hint="eastAsia" w:ascii="宋体" w:hAnsi="宋体" w:eastAsia="宋体" w:cs="宋体"/>
                <w:color w:val="000000"/>
                <w:spacing w:val="-6"/>
                <w:sz w:val="24"/>
                <w:szCs w:val="24"/>
              </w:rPr>
            </w:pPr>
            <w:r>
              <w:rPr>
                <w:rFonts w:hint="eastAsia" w:ascii="宋体" w:hAnsi="宋体" w:eastAsia="宋体" w:cs="宋体"/>
                <w:color w:val="000000"/>
                <w:spacing w:val="-6"/>
                <w:sz w:val="24"/>
                <w:szCs w:val="24"/>
              </w:rPr>
              <w:t>（1）国环规环评【2017】4号《建设项目竣工环境保护验收暂行办法》。</w:t>
            </w:r>
          </w:p>
          <w:p>
            <w:pPr>
              <w:pStyle w:val="46"/>
              <w:keepNext w:val="0"/>
              <w:keepLines w:val="0"/>
              <w:pageBreakBefore w:val="0"/>
              <w:widowControl/>
              <w:kinsoku/>
              <w:wordWrap/>
              <w:overflowPunct/>
              <w:topLinePunct w:val="0"/>
              <w:autoSpaceDE/>
              <w:autoSpaceDN/>
              <w:bidi w:val="0"/>
              <w:adjustRightInd w:val="0"/>
              <w:snapToGrid w:val="0"/>
              <w:spacing w:after="0" w:line="400" w:lineRule="exact"/>
              <w:ind w:firstLine="408"/>
              <w:textAlignment w:val="auto"/>
              <w:outlineLvl w:val="9"/>
              <w:rPr>
                <w:rFonts w:hint="eastAsia" w:ascii="宋体" w:hAnsi="宋体" w:eastAsia="宋体" w:cs="宋体"/>
                <w:spacing w:val="-6"/>
                <w:sz w:val="24"/>
                <w:szCs w:val="24"/>
              </w:rPr>
            </w:pPr>
            <w:r>
              <w:rPr>
                <w:rFonts w:hint="eastAsia" w:ascii="宋体" w:hAnsi="宋体" w:eastAsia="宋体" w:cs="宋体"/>
                <w:color w:val="000000"/>
                <w:spacing w:val="-6"/>
                <w:sz w:val="24"/>
                <w:szCs w:val="24"/>
              </w:rPr>
              <w:t>（2）《建设项目竣工环境保护验收技术指南 污染影响类》</w:t>
            </w:r>
            <w:r>
              <w:rPr>
                <w:rFonts w:hint="eastAsia" w:ascii="宋体" w:hAnsi="宋体" w:eastAsia="宋体" w:cs="宋体"/>
                <w:spacing w:val="-6"/>
                <w:sz w:val="24"/>
                <w:szCs w:val="24"/>
              </w:rPr>
              <w:t>（生态环境部办公厅2018年5月16日印发）；</w:t>
            </w:r>
          </w:p>
          <w:p>
            <w:pPr>
              <w:pStyle w:val="46"/>
              <w:keepNext w:val="0"/>
              <w:keepLines w:val="0"/>
              <w:pageBreakBefore w:val="0"/>
              <w:widowControl/>
              <w:kinsoku/>
              <w:wordWrap/>
              <w:overflowPunct/>
              <w:topLinePunct w:val="0"/>
              <w:autoSpaceDE/>
              <w:autoSpaceDN/>
              <w:bidi w:val="0"/>
              <w:adjustRightInd w:val="0"/>
              <w:snapToGrid w:val="0"/>
              <w:spacing w:after="0" w:line="400" w:lineRule="exact"/>
              <w:ind w:firstLine="408"/>
              <w:textAlignment w:val="auto"/>
              <w:outlineLvl w:val="9"/>
              <w:rPr>
                <w:rFonts w:hint="eastAsia" w:ascii="宋体" w:hAnsi="宋体" w:eastAsia="宋体" w:cs="宋体"/>
                <w:color w:val="000000"/>
                <w:spacing w:val="-6"/>
                <w:sz w:val="24"/>
                <w:szCs w:val="24"/>
              </w:rPr>
            </w:pPr>
            <w:r>
              <w:rPr>
                <w:rFonts w:hint="eastAsia" w:ascii="宋体" w:hAnsi="宋体" w:eastAsia="宋体" w:cs="宋体"/>
                <w:color w:val="000000"/>
                <w:spacing w:val="-6"/>
                <w:sz w:val="24"/>
                <w:szCs w:val="24"/>
              </w:rPr>
              <w:t>（3）国务院[2017]第682号国务院令《国务院关于修改〈建设项目环境保护管理条例〉的决定》。</w:t>
            </w:r>
          </w:p>
          <w:p>
            <w:pPr>
              <w:keepNext w:val="0"/>
              <w:keepLines w:val="0"/>
              <w:pageBreakBefore w:val="0"/>
              <w:widowControl/>
              <w:kinsoku/>
              <w:wordWrap/>
              <w:overflowPunct/>
              <w:topLinePunct w:val="0"/>
              <w:autoSpaceDE/>
              <w:autoSpaceDN/>
              <w:bidi w:val="0"/>
              <w:adjustRightInd w:val="0"/>
              <w:snapToGrid w:val="0"/>
              <w:spacing w:after="0" w:line="40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（4）环办[2015]113号《关于印发建设项目环境保护验收现场检查及审查要点的通知》。</w:t>
            </w:r>
          </w:p>
          <w:p>
            <w:pPr>
              <w:keepNext w:val="0"/>
              <w:keepLines w:val="0"/>
              <w:pageBreakBefore w:val="0"/>
              <w:widowControl/>
              <w:kinsoku/>
              <w:wordWrap/>
              <w:overflowPunct/>
              <w:topLinePunct w:val="0"/>
              <w:autoSpaceDE/>
              <w:autoSpaceDN/>
              <w:bidi w:val="0"/>
              <w:adjustRightInd w:val="0"/>
              <w:snapToGrid w:val="0"/>
              <w:spacing w:after="0" w:line="40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（5）《中国石化销售有限公司贵州黔西南石油分公司晴隆油库建设项目环境影响报告表》贵州绿宏环保科技有限公司201</w:t>
            </w:r>
            <w:r>
              <w:rPr>
                <w:rFonts w:hint="eastAsia" w:ascii="宋体" w:hAnsi="宋体" w:eastAsia="宋体" w:cs="宋体"/>
                <w:color w:val="000000"/>
                <w:sz w:val="24"/>
                <w:szCs w:val="24"/>
                <w:lang w:val="en-US" w:eastAsia="zh-CN"/>
              </w:rPr>
              <w:t>7</w:t>
            </w:r>
            <w:r>
              <w:rPr>
                <w:rFonts w:hint="eastAsia" w:ascii="宋体" w:hAnsi="宋体" w:eastAsia="宋体" w:cs="宋体"/>
                <w:color w:val="000000"/>
                <w:sz w:val="24"/>
                <w:szCs w:val="24"/>
              </w:rPr>
              <w:t>年</w:t>
            </w:r>
            <w:r>
              <w:rPr>
                <w:rFonts w:hint="eastAsia" w:ascii="宋体" w:hAnsi="宋体" w:eastAsia="宋体" w:cs="宋体"/>
                <w:color w:val="000000"/>
                <w:sz w:val="24"/>
                <w:szCs w:val="24"/>
                <w:lang w:val="en-US" w:eastAsia="zh-CN"/>
              </w:rPr>
              <w:t>12</w:t>
            </w:r>
            <w:r>
              <w:rPr>
                <w:rFonts w:hint="eastAsia" w:ascii="宋体" w:hAnsi="宋体" w:eastAsia="宋体" w:cs="宋体"/>
                <w:color w:val="000000"/>
                <w:sz w:val="24"/>
                <w:szCs w:val="24"/>
              </w:rPr>
              <w:t>月。</w:t>
            </w:r>
          </w:p>
          <w:p>
            <w:pPr>
              <w:keepNext w:val="0"/>
              <w:keepLines w:val="0"/>
              <w:pageBreakBefore w:val="0"/>
              <w:widowControl/>
              <w:kinsoku/>
              <w:wordWrap/>
              <w:overflowPunct/>
              <w:topLinePunct w:val="0"/>
              <w:autoSpaceDE/>
              <w:autoSpaceDN/>
              <w:bidi w:val="0"/>
              <w:adjustRightInd w:val="0"/>
              <w:snapToGrid w:val="0"/>
              <w:spacing w:after="0" w:line="4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000000"/>
                <w:sz w:val="24"/>
                <w:szCs w:val="24"/>
              </w:rPr>
              <w:t>（6）</w:t>
            </w:r>
            <w:r>
              <w:rPr>
                <w:rFonts w:hint="eastAsia" w:ascii="宋体" w:hAnsi="宋体" w:eastAsia="宋体" w:cs="宋体"/>
                <w:color w:val="000000"/>
                <w:sz w:val="24"/>
                <w:szCs w:val="24"/>
                <w:lang w:eastAsia="zh-CN"/>
              </w:rPr>
              <w:t>晴隆县</w:t>
            </w:r>
            <w:r>
              <w:rPr>
                <w:rFonts w:hint="eastAsia" w:ascii="宋体" w:hAnsi="宋体" w:eastAsia="宋体" w:cs="宋体"/>
                <w:color w:val="000000"/>
                <w:sz w:val="24"/>
                <w:szCs w:val="24"/>
              </w:rPr>
              <w:t>环境保护局关于对《中国石化销售有限公司贵州黔西南石油分公司晴隆油库建设项目环境影响报告表》的批复（</w:t>
            </w:r>
            <w:r>
              <w:rPr>
                <w:rFonts w:hint="eastAsia" w:ascii="宋体" w:hAnsi="宋体" w:eastAsia="宋体" w:cs="宋体"/>
                <w:color w:val="000000"/>
                <w:sz w:val="24"/>
                <w:szCs w:val="24"/>
                <w:lang w:eastAsia="zh-CN"/>
              </w:rPr>
              <w:t>晴环核</w:t>
            </w:r>
            <w:r>
              <w:rPr>
                <w:rFonts w:hint="eastAsia" w:ascii="宋体" w:hAnsi="宋体" w:eastAsia="宋体" w:cs="宋体"/>
                <w:color w:val="auto"/>
                <w:sz w:val="24"/>
                <w:szCs w:val="24"/>
              </w:rPr>
              <w:t>[201</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号）。</w:t>
            </w:r>
          </w:p>
          <w:p>
            <w:pPr>
              <w:keepNext w:val="0"/>
              <w:keepLines w:val="0"/>
              <w:pageBreakBefore w:val="0"/>
              <w:widowControl/>
              <w:kinsoku/>
              <w:wordWrap/>
              <w:overflowPunct/>
              <w:topLinePunct w:val="0"/>
              <w:autoSpaceDE/>
              <w:autoSpaceDN/>
              <w:bidi w:val="0"/>
              <w:adjustRightInd w:val="0"/>
              <w:snapToGrid w:val="0"/>
              <w:spacing w:after="0" w:line="40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（7）中国石化销售有限公司贵州黔西南石油分公司晴隆油库建设项目竣工环境保护验收检测委书。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9180" w:hRule="atLeast"/>
          <w:jc w:val="center"/>
        </w:trPr>
        <w:tc>
          <w:tcPr>
            <w:tcW w:w="2092" w:type="dxa"/>
            <w:vAlign w:val="center"/>
          </w:tcPr>
          <w:p>
            <w:pPr>
              <w:spacing w:after="0" w:line="360" w:lineRule="auto"/>
              <w:jc w:val="center"/>
              <w:rPr>
                <w:rFonts w:ascii="宋体" w:hAnsi="宋体" w:eastAsia="宋体"/>
                <w:color w:val="000000"/>
                <w:sz w:val="21"/>
                <w:szCs w:val="21"/>
              </w:rPr>
            </w:pPr>
            <w:r>
              <w:rPr>
                <w:rFonts w:ascii="宋体" w:hAnsi="宋体" w:eastAsia="宋体"/>
                <w:color w:val="000000"/>
                <w:spacing w:val="-6"/>
                <w:sz w:val="21"/>
                <w:szCs w:val="21"/>
              </w:rPr>
              <w:t>验收监测评价</w:t>
            </w:r>
            <w:r>
              <w:rPr>
                <w:rFonts w:hint="eastAsia" w:ascii="宋体" w:hAnsi="宋体" w:eastAsia="宋体"/>
                <w:color w:val="000000"/>
                <w:spacing w:val="-6"/>
                <w:sz w:val="21"/>
                <w:szCs w:val="21"/>
              </w:rPr>
              <w:t>标</w:t>
            </w:r>
            <w:r>
              <w:rPr>
                <w:rFonts w:ascii="宋体" w:hAnsi="宋体" w:eastAsia="宋体"/>
                <w:color w:val="000000"/>
                <w:spacing w:val="-6"/>
                <w:sz w:val="21"/>
                <w:szCs w:val="21"/>
              </w:rPr>
              <w:t>准、</w:t>
            </w:r>
            <w:r>
              <w:rPr>
                <w:rFonts w:ascii="宋体" w:hAnsi="宋体" w:eastAsia="宋体"/>
                <w:color w:val="000000"/>
                <w:sz w:val="21"/>
                <w:szCs w:val="21"/>
              </w:rPr>
              <w:t>标号、级别、限值</w:t>
            </w:r>
          </w:p>
        </w:tc>
        <w:tc>
          <w:tcPr>
            <w:tcW w:w="6991" w:type="dxa"/>
            <w:gridSpan w:val="5"/>
          </w:tcPr>
          <w:p>
            <w:pPr>
              <w:keepNext w:val="0"/>
              <w:keepLines w:val="0"/>
              <w:pageBreakBefore w:val="0"/>
              <w:widowControl/>
              <w:numPr>
                <w:ilvl w:val="0"/>
                <w:numId w:val="1"/>
              </w:numPr>
              <w:kinsoku/>
              <w:wordWrap/>
              <w:overflowPunct/>
              <w:topLinePunct w:val="0"/>
              <w:autoSpaceDE/>
              <w:autoSpaceDN/>
              <w:bidi w:val="0"/>
              <w:adjustRightInd w:val="0"/>
              <w:snapToGrid w:val="0"/>
              <w:spacing w:beforeLines="0" w:after="0" w:afterLines="0" w:line="240" w:lineRule="auto"/>
              <w:ind w:firstLine="480"/>
              <w:textAlignment w:val="auto"/>
              <w:outlineLvl w:val="9"/>
              <w:rPr>
                <w:rFonts w:hint="eastAsia" w:ascii="Times New Roman" w:hAnsi="Times New Roman" w:eastAsia="宋体"/>
                <w:sz w:val="24"/>
                <w:szCs w:val="24"/>
                <w:lang w:val="en-US" w:eastAsia="zh-CN"/>
              </w:rPr>
            </w:pPr>
            <w:r>
              <w:rPr>
                <w:rFonts w:hint="eastAsia" w:ascii="Times New Roman" w:hAnsi="Times New Roman" w:eastAsia="宋体"/>
                <w:color w:val="auto"/>
                <w:sz w:val="24"/>
                <w:szCs w:val="24"/>
              </w:rPr>
              <w:t>项目废气执行《储油库大气污染物排放标准》（B20950-2007）和《大气污染物综合排放标准》（GB16297－1996）新污染源无组织排放标准</w:t>
            </w:r>
            <w:r>
              <w:rPr>
                <w:rFonts w:ascii="Times New Roman" w:hAnsi="Times New Roman" w:eastAsia="宋体"/>
                <w:sz w:val="24"/>
                <w:szCs w:val="24"/>
              </w:rPr>
              <w:t>见表1-</w:t>
            </w:r>
            <w:r>
              <w:rPr>
                <w:rFonts w:hint="eastAsia" w:ascii="Times New Roman" w:hAnsi="Times New Roman" w:eastAsia="宋体"/>
                <w:sz w:val="24"/>
                <w:szCs w:val="24"/>
                <w:lang w:val="en-US" w:eastAsia="zh-CN"/>
              </w:rPr>
              <w:t xml:space="preserve">1。 </w:t>
            </w:r>
          </w:p>
          <w:p>
            <w:pPr>
              <w:pStyle w:val="2"/>
              <w:numPr>
                <w:ilvl w:val="0"/>
                <w:numId w:val="0"/>
              </w:numPr>
              <w:spacing w:line="240" w:lineRule="auto"/>
              <w:ind w:firstLine="632" w:firstLineChars="300"/>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表1-1</w:t>
            </w:r>
            <w:r>
              <w:rPr>
                <w:rFonts w:hint="eastAsia" w:ascii="宋体" w:hAnsi="宋体" w:eastAsia="宋体" w:cs="宋体"/>
                <w:b/>
                <w:bCs/>
                <w:color w:val="auto"/>
                <w:sz w:val="21"/>
                <w:szCs w:val="21"/>
              </w:rPr>
              <w:t>《储油库大气污染物排放标准》（B20950-2007）</w:t>
            </w:r>
            <w:r>
              <w:rPr>
                <w:rFonts w:hint="eastAsia" w:ascii="宋体" w:hAnsi="宋体" w:eastAsia="宋体" w:cs="宋体"/>
                <w:b/>
                <w:bCs/>
                <w:color w:val="auto"/>
                <w:sz w:val="21"/>
                <w:szCs w:val="21"/>
                <w:lang w:eastAsia="zh-CN"/>
              </w:rPr>
              <w:t>、</w:t>
            </w:r>
            <w:r>
              <w:rPr>
                <w:rFonts w:hint="eastAsia" w:ascii="宋体" w:hAnsi="宋体" w:eastAsia="宋体" w:cs="宋体"/>
                <w:b/>
                <w:bCs/>
                <w:color w:val="auto"/>
                <w:sz w:val="21"/>
                <w:szCs w:val="21"/>
              </w:rPr>
              <w:t>《大气污染物综合排放标准》（GB16297－1996）</w:t>
            </w:r>
            <w:r>
              <w:rPr>
                <w:rFonts w:hint="eastAsia" w:ascii="宋体" w:hAnsi="宋体" w:eastAsia="宋体" w:cs="宋体"/>
                <w:b/>
                <w:bCs/>
                <w:color w:val="auto"/>
                <w:sz w:val="21"/>
                <w:szCs w:val="21"/>
                <w:lang w:eastAsia="zh-CN"/>
              </w:rPr>
              <w:t>标准</w:t>
            </w:r>
            <w:r>
              <w:rPr>
                <w:rFonts w:hint="eastAsia" w:hAnsi="宋体" w:cs="宋体"/>
                <w:b/>
                <w:bCs/>
                <w:color w:val="auto"/>
                <w:sz w:val="21"/>
                <w:szCs w:val="21"/>
                <w:lang w:eastAsia="zh-CN"/>
              </w:rPr>
              <w:t>限值</w:t>
            </w:r>
          </w:p>
          <w:tbl>
            <w:tblPr>
              <w:tblStyle w:val="18"/>
              <w:tblW w:w="655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2149"/>
              <w:gridCol w:w="1215"/>
              <w:gridCol w:w="20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9" w:hRule="atLeast"/>
              </w:trPr>
              <w:tc>
                <w:tcPr>
                  <w:tcW w:w="1097"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污染物</w:t>
                  </w:r>
                </w:p>
              </w:tc>
              <w:tc>
                <w:tcPr>
                  <w:tcW w:w="2149"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排放监控浓度限值</w:t>
                  </w:r>
                </w:p>
              </w:tc>
              <w:tc>
                <w:tcPr>
                  <w:tcW w:w="1215"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油气处理效率</w:t>
                  </w:r>
                </w:p>
              </w:tc>
              <w:tc>
                <w:tcPr>
                  <w:tcW w:w="2090"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06" w:hRule="atLeast"/>
              </w:trPr>
              <w:tc>
                <w:tcPr>
                  <w:tcW w:w="1097"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油气</w:t>
                  </w:r>
                </w:p>
              </w:tc>
              <w:tc>
                <w:tcPr>
                  <w:tcW w:w="2149"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default" w:ascii="Times New Roman" w:hAnsi="Times New Roman" w:eastAsia="宋体" w:cs="Times New Roman"/>
                      <w:color w:val="auto"/>
                      <w:kern w:val="0"/>
                      <w:sz w:val="21"/>
                      <w:szCs w:val="21"/>
                      <w:vertAlign w:val="superscript"/>
                      <w:lang w:eastAsia="zh-CN"/>
                    </w:rPr>
                  </w:pPr>
                  <w:r>
                    <w:rPr>
                      <w:rFonts w:hint="default" w:ascii="Times New Roman" w:hAnsi="Times New Roman" w:eastAsia="宋体" w:cs="Times New Roman"/>
                      <w:color w:val="auto"/>
                      <w:kern w:val="0"/>
                      <w:sz w:val="21"/>
                      <w:szCs w:val="21"/>
                    </w:rPr>
                    <w:t>25g/</w:t>
                  </w:r>
                  <w:r>
                    <w:rPr>
                      <w:rFonts w:hint="default" w:ascii="Times New Roman" w:hAnsi="Times New Roman" w:eastAsia="宋体" w:cs="Times New Roman"/>
                      <w:color w:val="auto"/>
                      <w:kern w:val="0"/>
                      <w:sz w:val="21"/>
                      <w:szCs w:val="21"/>
                      <w:lang w:eastAsia="zh-CN"/>
                    </w:rPr>
                    <w:t>m³</w:t>
                  </w:r>
                </w:p>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（监控点设于装置排放口）</w:t>
                  </w:r>
                </w:p>
              </w:tc>
              <w:tc>
                <w:tcPr>
                  <w:tcW w:w="1215"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≥95%</w:t>
                  </w:r>
                </w:p>
              </w:tc>
              <w:tc>
                <w:tcPr>
                  <w:tcW w:w="2090"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《储油库大气污染物排放标准》（B20950-2007）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06" w:hRule="atLeast"/>
              </w:trPr>
              <w:tc>
                <w:tcPr>
                  <w:tcW w:w="1097"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非甲烷总烃</w:t>
                  </w:r>
                </w:p>
              </w:tc>
              <w:tc>
                <w:tcPr>
                  <w:tcW w:w="2149"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default" w:ascii="Times New Roman" w:hAnsi="Times New Roman" w:eastAsia="宋体" w:cs="Times New Roman"/>
                      <w:color w:val="auto"/>
                      <w:kern w:val="0"/>
                      <w:sz w:val="21"/>
                      <w:szCs w:val="21"/>
                      <w:vertAlign w:val="superscript"/>
                      <w:lang w:eastAsia="zh-CN"/>
                    </w:rPr>
                  </w:pP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rPr>
                    <w:t>.0mg/</w:t>
                  </w:r>
                  <w:r>
                    <w:rPr>
                      <w:rFonts w:hint="default" w:ascii="Times New Roman" w:hAnsi="Times New Roman" w:eastAsia="宋体" w:cs="Times New Roman"/>
                      <w:color w:val="auto"/>
                      <w:kern w:val="0"/>
                      <w:sz w:val="21"/>
                      <w:szCs w:val="21"/>
                      <w:lang w:eastAsia="zh-CN"/>
                    </w:rPr>
                    <w:t>m³</w:t>
                  </w:r>
                </w:p>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（无组织排放，监控点设于周界外）</w:t>
                  </w:r>
                </w:p>
              </w:tc>
              <w:tc>
                <w:tcPr>
                  <w:tcW w:w="1215"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w:t>
                  </w:r>
                </w:p>
              </w:tc>
              <w:tc>
                <w:tcPr>
                  <w:tcW w:w="2090" w:type="dxa"/>
                  <w:vAlign w:val="center"/>
                </w:tcPr>
                <w:p>
                  <w:pPr>
                    <w:keepNext w:val="0"/>
                    <w:keepLines w:val="0"/>
                    <w:pageBreakBefore w:val="0"/>
                    <w:widowControl/>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《大气污染物综合排放标准》（GB16297－1996）</w:t>
                  </w:r>
                </w:p>
              </w:tc>
            </w:tr>
          </w:tbl>
          <w:p>
            <w:pPr>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480" w:firstLineChars="200"/>
              <w:textAlignment w:val="auto"/>
              <w:outlineLvl w:val="9"/>
              <w:rPr>
                <w:rFonts w:ascii="Times New Roman" w:hAnsi="Times New Roman" w:eastAsia="宋体"/>
                <w:sz w:val="24"/>
                <w:szCs w:val="24"/>
              </w:rPr>
            </w:pPr>
            <w:r>
              <w:rPr>
                <w:rFonts w:ascii="Times New Roman" w:hAnsi="Times New Roman" w:eastAsia="宋体"/>
                <w:sz w:val="24"/>
                <w:szCs w:val="24"/>
              </w:rPr>
              <w:t>2、</w:t>
            </w:r>
            <w:r>
              <w:rPr>
                <w:rFonts w:hint="eastAsia" w:ascii="Times New Roman" w:hAnsi="Times New Roman" w:eastAsia="宋体"/>
                <w:sz w:val="24"/>
                <w:szCs w:val="24"/>
              </w:rPr>
              <w:t>《污水综合排放标准》（GB8978-1996）</w:t>
            </w:r>
            <w:r>
              <w:rPr>
                <w:rFonts w:ascii="Times New Roman" w:hAnsi="Times New Roman" w:eastAsia="宋体"/>
                <w:sz w:val="24"/>
                <w:szCs w:val="24"/>
              </w:rPr>
              <w:t>一级标准限值见表1-2；</w:t>
            </w:r>
            <w:r>
              <w:rPr>
                <w:rFonts w:hint="eastAsia" w:eastAsia="宋体"/>
                <w:sz w:val="21"/>
                <w:szCs w:val="21"/>
              </w:rPr>
              <w:t>污水</w:t>
            </w:r>
          </w:p>
          <w:p>
            <w:pPr>
              <w:pStyle w:val="49"/>
              <w:spacing w:before="0" w:beforeLines="0" w:after="0" w:line="360" w:lineRule="auto"/>
              <w:rPr>
                <w:rFonts w:eastAsia="宋体"/>
                <w:sz w:val="21"/>
                <w:szCs w:val="21"/>
              </w:rPr>
            </w:pPr>
            <w:bookmarkStart w:id="11" w:name="_Toc21749_WPSOffice_Level1"/>
            <w:r>
              <w:rPr>
                <w:rFonts w:eastAsia="宋体"/>
                <w:sz w:val="21"/>
                <w:szCs w:val="21"/>
              </w:rPr>
              <w:t>表1-2</w:t>
            </w:r>
            <w:r>
              <w:rPr>
                <w:rFonts w:hint="eastAsia" w:eastAsia="宋体"/>
                <w:sz w:val="21"/>
                <w:szCs w:val="21"/>
              </w:rPr>
              <w:t>《污水综合排放标准》（GB8978-1996）一级标准限值</w:t>
            </w:r>
            <w:r>
              <w:rPr>
                <w:rFonts w:eastAsia="宋体"/>
                <w:sz w:val="21"/>
                <w:szCs w:val="21"/>
              </w:rPr>
              <w:t xml:space="preserve"> </w:t>
            </w:r>
            <w:bookmarkEnd w:id="11"/>
          </w:p>
          <w:tbl>
            <w:tblPr>
              <w:tblStyle w:val="19"/>
              <w:tblW w:w="68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0"/>
              <w:gridCol w:w="1363"/>
              <w:gridCol w:w="3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污染物</w:t>
                  </w:r>
                </w:p>
              </w:tc>
              <w:tc>
                <w:tcPr>
                  <w:tcW w:w="1363"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单位</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pH</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无量纲</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悬浮物</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化学需氧量</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6"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五日生化需氧量</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石油类</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1" w:hRule="exact"/>
                <w:jc w:val="center"/>
              </w:trPr>
              <w:tc>
                <w:tcPr>
                  <w:tcW w:w="2260"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eastAsia="宋体"/>
                      <w:szCs w:val="21"/>
                    </w:rPr>
                  </w:pPr>
                  <w:r>
                    <w:rPr>
                      <w:rFonts w:eastAsia="宋体"/>
                      <w:szCs w:val="21"/>
                    </w:rPr>
                    <w:t>氨氮</w:t>
                  </w:r>
                </w:p>
              </w:tc>
              <w:tc>
                <w:tcPr>
                  <w:tcW w:w="136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jc w:val="center"/>
                    <w:textAlignment w:val="auto"/>
                    <w:outlineLvl w:val="9"/>
                    <w:rPr>
                      <w:rFonts w:ascii="Times New Roman" w:hAnsi="Times New Roman" w:eastAsia="宋体"/>
                      <w:sz w:val="21"/>
                      <w:szCs w:val="21"/>
                    </w:rPr>
                  </w:pPr>
                  <w:r>
                    <w:rPr>
                      <w:rFonts w:ascii="Times New Roman" w:hAnsi="Times New Roman" w:eastAsia="宋体"/>
                      <w:sz w:val="21"/>
                      <w:szCs w:val="21"/>
                    </w:rPr>
                    <w:t>mg/L</w:t>
                  </w:r>
                </w:p>
              </w:tc>
              <w:tc>
                <w:tcPr>
                  <w:tcW w:w="3197" w:type="dxa"/>
                  <w:vAlign w:val="center"/>
                </w:tcPr>
                <w:p>
                  <w:pPr>
                    <w:pStyle w:val="47"/>
                    <w:keepNext w:val="0"/>
                    <w:keepLines w:val="0"/>
                    <w:pageBreakBefore w:val="0"/>
                    <w:widowControl w:val="0"/>
                    <w:kinsoku/>
                    <w:wordWrap/>
                    <w:overflowPunct/>
                    <w:topLinePunct w:val="0"/>
                    <w:autoSpaceDE/>
                    <w:autoSpaceDN/>
                    <w:bidi w:val="0"/>
                    <w:adjustRightInd w:val="0"/>
                    <w:snapToGrid w:val="0"/>
                    <w:spacing w:after="0" w:line="240" w:lineRule="auto"/>
                    <w:textAlignment w:val="auto"/>
                    <w:outlineLvl w:val="9"/>
                    <w:rPr>
                      <w:rFonts w:hint="eastAsia" w:eastAsia="宋体"/>
                      <w:szCs w:val="21"/>
                      <w:lang w:val="en-US" w:eastAsia="zh-CN"/>
                    </w:rPr>
                  </w:pPr>
                  <w:r>
                    <w:rPr>
                      <w:rFonts w:hint="eastAsia" w:eastAsia="宋体"/>
                      <w:szCs w:val="21"/>
                      <w:lang w:val="en-US" w:eastAsia="zh-CN"/>
                    </w:rPr>
                    <w:t>15</w:t>
                  </w:r>
                </w:p>
              </w:tc>
            </w:tr>
          </w:tbl>
          <w:p>
            <w:pPr>
              <w:keepNext w:val="0"/>
              <w:keepLines w:val="0"/>
              <w:pageBreakBefore w:val="0"/>
              <w:widowControl w:val="0"/>
              <w:kinsoku/>
              <w:wordWrap/>
              <w:overflowPunct/>
              <w:topLinePunct w:val="0"/>
              <w:autoSpaceDE/>
              <w:autoSpaceDN/>
              <w:bidi w:val="0"/>
              <w:adjustRightInd w:val="0"/>
              <w:snapToGrid w:val="0"/>
              <w:spacing w:before="181" w:beforeLines="50" w:after="0" w:line="240" w:lineRule="auto"/>
              <w:ind w:firstLine="480" w:firstLineChars="200"/>
              <w:textAlignment w:val="auto"/>
              <w:outlineLvl w:val="9"/>
              <w:rPr>
                <w:rFonts w:ascii="Times New Roman" w:hAnsi="Times New Roman" w:eastAsia="宋体"/>
                <w:sz w:val="24"/>
                <w:szCs w:val="24"/>
              </w:rPr>
            </w:pPr>
            <w:r>
              <w:rPr>
                <w:rFonts w:ascii="Times New Roman" w:hAnsi="Times New Roman" w:eastAsia="宋体"/>
                <w:sz w:val="24"/>
                <w:szCs w:val="24"/>
              </w:rPr>
              <w:t>3、《工业企业厂界环境噪声排放标准》(GB12348-2008)2类限值见表</w:t>
            </w:r>
            <w:r>
              <w:rPr>
                <w:rFonts w:hint="eastAsia" w:ascii="Times New Roman" w:hAnsi="Times New Roman" w:eastAsia="宋体"/>
                <w:sz w:val="24"/>
                <w:szCs w:val="24"/>
              </w:rPr>
              <w:t>1</w:t>
            </w:r>
            <w:r>
              <w:rPr>
                <w:rFonts w:ascii="Times New Roman" w:hAnsi="Times New Roman" w:eastAsia="宋体"/>
                <w:sz w:val="24"/>
                <w:szCs w:val="24"/>
              </w:rPr>
              <w:t>-3。</w:t>
            </w:r>
          </w:p>
          <w:p>
            <w:pPr>
              <w:pStyle w:val="49"/>
              <w:spacing w:before="0" w:beforeLines="0" w:after="0"/>
              <w:rPr>
                <w:rFonts w:eastAsia="宋体"/>
                <w:sz w:val="21"/>
                <w:szCs w:val="21"/>
              </w:rPr>
            </w:pPr>
            <w:bookmarkStart w:id="12" w:name="_Toc21877_WPSOffice_Level2"/>
            <w:r>
              <w:rPr>
                <w:rFonts w:eastAsia="宋体"/>
                <w:sz w:val="21"/>
                <w:szCs w:val="21"/>
              </w:rPr>
              <w:t>表1-3  工业企业厂界环境噪声排放限值      单位：dB（A）</w:t>
            </w:r>
            <w:bookmarkEnd w:id="12"/>
          </w:p>
          <w:tbl>
            <w:tblPr>
              <w:tblStyle w:val="19"/>
              <w:tblW w:w="6800" w:type="dxa"/>
              <w:jc w:val="center"/>
              <w:tblInd w:w="3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0"/>
              <w:gridCol w:w="2081"/>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jc w:val="center"/>
              </w:trPr>
              <w:tc>
                <w:tcPr>
                  <w:tcW w:w="2550" w:type="dxa"/>
                  <w:vAlign w:val="center"/>
                </w:tcPr>
                <w:p>
                  <w:pPr>
                    <w:pStyle w:val="47"/>
                    <w:widowControl w:val="0"/>
                    <w:spacing w:after="0"/>
                    <w:rPr>
                      <w:rFonts w:eastAsia="宋体"/>
                      <w:szCs w:val="21"/>
                    </w:rPr>
                  </w:pPr>
                  <w:r>
                    <w:rPr>
                      <w:rFonts w:eastAsia="宋体"/>
                      <w:szCs w:val="21"/>
                    </w:rPr>
                    <w:t>厂界外声环境功能区类别</w:t>
                  </w:r>
                </w:p>
              </w:tc>
              <w:tc>
                <w:tcPr>
                  <w:tcW w:w="2081" w:type="dxa"/>
                  <w:vAlign w:val="center"/>
                </w:tcPr>
                <w:p>
                  <w:pPr>
                    <w:pStyle w:val="47"/>
                    <w:widowControl w:val="0"/>
                    <w:spacing w:after="0"/>
                    <w:rPr>
                      <w:rFonts w:eastAsia="宋体"/>
                      <w:szCs w:val="21"/>
                    </w:rPr>
                  </w:pPr>
                  <w:r>
                    <w:rPr>
                      <w:rFonts w:eastAsia="宋体"/>
                      <w:szCs w:val="21"/>
                    </w:rPr>
                    <w:t>昼间</w:t>
                  </w:r>
                </w:p>
              </w:tc>
              <w:tc>
                <w:tcPr>
                  <w:tcW w:w="2169" w:type="dxa"/>
                  <w:vAlign w:val="center"/>
                </w:tcPr>
                <w:p>
                  <w:pPr>
                    <w:pStyle w:val="47"/>
                    <w:widowControl w:val="0"/>
                    <w:spacing w:after="0"/>
                    <w:rPr>
                      <w:rFonts w:eastAsia="宋体"/>
                      <w:szCs w:val="21"/>
                    </w:rPr>
                  </w:pPr>
                  <w:r>
                    <w:rPr>
                      <w:rFonts w:eastAsia="宋体"/>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2550" w:type="dxa"/>
                  <w:vAlign w:val="center"/>
                </w:tcPr>
                <w:p>
                  <w:pPr>
                    <w:pStyle w:val="47"/>
                    <w:widowControl w:val="0"/>
                    <w:spacing w:after="0"/>
                    <w:rPr>
                      <w:rFonts w:eastAsia="宋体"/>
                      <w:szCs w:val="21"/>
                    </w:rPr>
                  </w:pPr>
                  <w:r>
                    <w:rPr>
                      <w:rFonts w:eastAsia="宋体"/>
                      <w:szCs w:val="21"/>
                    </w:rPr>
                    <w:t>2类</w:t>
                  </w:r>
                </w:p>
              </w:tc>
              <w:tc>
                <w:tcPr>
                  <w:tcW w:w="2081" w:type="dxa"/>
                  <w:vAlign w:val="center"/>
                </w:tcPr>
                <w:p>
                  <w:pPr>
                    <w:pStyle w:val="47"/>
                    <w:widowControl w:val="0"/>
                    <w:spacing w:after="0"/>
                    <w:rPr>
                      <w:rFonts w:eastAsia="宋体"/>
                      <w:szCs w:val="21"/>
                    </w:rPr>
                  </w:pPr>
                  <w:r>
                    <w:rPr>
                      <w:rFonts w:eastAsia="宋体"/>
                      <w:szCs w:val="21"/>
                    </w:rPr>
                    <w:t>60</w:t>
                  </w:r>
                </w:p>
              </w:tc>
              <w:tc>
                <w:tcPr>
                  <w:tcW w:w="2169" w:type="dxa"/>
                  <w:vAlign w:val="center"/>
                </w:tcPr>
                <w:p>
                  <w:pPr>
                    <w:pStyle w:val="47"/>
                    <w:widowControl w:val="0"/>
                    <w:spacing w:after="0"/>
                    <w:rPr>
                      <w:rFonts w:eastAsia="宋体"/>
                      <w:szCs w:val="21"/>
                    </w:rPr>
                  </w:pPr>
                  <w:r>
                    <w:rPr>
                      <w:rFonts w:eastAsia="宋体"/>
                      <w:szCs w:val="21"/>
                    </w:rPr>
                    <w:t>50</w:t>
                  </w:r>
                </w:p>
              </w:tc>
            </w:tr>
          </w:tbl>
          <w:p>
            <w:pPr>
              <w:spacing w:after="0" w:line="520" w:lineRule="exact"/>
              <w:rPr>
                <w:rFonts w:ascii="宋体" w:hAnsi="宋体" w:eastAsia="宋体"/>
                <w:color w:val="000000"/>
                <w:sz w:val="21"/>
                <w:szCs w:val="21"/>
              </w:rPr>
            </w:pPr>
          </w:p>
        </w:tc>
      </w:tr>
    </w:tbl>
    <w:p>
      <w:pPr>
        <w:spacing w:after="0" w:line="360" w:lineRule="auto"/>
        <w:rPr>
          <w:rFonts w:eastAsia="仿宋_GB2312"/>
          <w:b/>
          <w:color w:val="000000"/>
          <w:sz w:val="32"/>
          <w:szCs w:val="32"/>
        </w:rPr>
      </w:pPr>
      <w:r>
        <w:rPr>
          <w:rFonts w:eastAsia="仿宋_GB2312"/>
          <w:color w:val="000000"/>
          <w:sz w:val="21"/>
          <w:szCs w:val="21"/>
        </w:rPr>
        <w:br w:type="page"/>
      </w:r>
      <w:bookmarkStart w:id="13" w:name="_Toc26110_WPSOffice_Level1"/>
      <w:r>
        <w:rPr>
          <w:rFonts w:hint="eastAsia" w:ascii="宋体" w:hAnsi="宋体" w:eastAsia="宋体" w:cs="宋体"/>
          <w:b/>
          <w:color w:val="000000"/>
          <w:sz w:val="28"/>
          <w:szCs w:val="28"/>
        </w:rPr>
        <w:t>表二</w:t>
      </w:r>
      <w:r>
        <w:rPr>
          <w:rFonts w:hint="eastAsia" w:ascii="宋体" w:hAnsi="宋体" w:eastAsia="宋体" w:cs="宋体"/>
          <w:b/>
          <w:color w:val="000000"/>
          <w:sz w:val="28"/>
          <w:szCs w:val="28"/>
          <w:lang w:val="en-US" w:eastAsia="zh-CN"/>
        </w:rPr>
        <w:t xml:space="preserve">  </w:t>
      </w:r>
      <w:r>
        <w:rPr>
          <w:rFonts w:hint="eastAsia" w:ascii="宋体" w:hAnsi="宋体" w:eastAsia="宋体" w:cs="宋体"/>
          <w:b/>
          <w:color w:val="000000"/>
          <w:sz w:val="28"/>
          <w:szCs w:val="28"/>
        </w:rPr>
        <w:t>工程建设内容、原料消耗及工艺流程图</w:t>
      </w:r>
      <w:bookmarkEnd w:id="13"/>
    </w:p>
    <w:tbl>
      <w:tblPr>
        <w:tblStyle w:val="18"/>
        <w:tblW w:w="971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9718" w:type="dxa"/>
          </w:tcPr>
          <w:p>
            <w:pPr>
              <w:pStyle w:val="20"/>
              <w:keepNext w:val="0"/>
              <w:keepLines w:val="0"/>
              <w:pageBreakBefore w:val="0"/>
              <w:widowControl/>
              <w:kinsoku/>
              <w:wordWrap/>
              <w:overflowPunct/>
              <w:topLinePunct w:val="0"/>
              <w:autoSpaceDE/>
              <w:autoSpaceDN/>
              <w:bidi w:val="0"/>
              <w:adjustRightInd w:val="0"/>
              <w:snapToGrid w:val="0"/>
              <w:spacing w:before="181" w:beforeLines="50" w:after="0"/>
              <w:ind w:left="0" w:leftChars="0" w:firstLine="480" w:firstLineChars="200"/>
              <w:textAlignment w:val="auto"/>
              <w:outlineLvl w:val="9"/>
              <w:rPr>
                <w:rFonts w:eastAsia="宋体"/>
                <w:color w:val="000000"/>
                <w:sz w:val="21"/>
                <w:szCs w:val="21"/>
              </w:rPr>
            </w:pPr>
            <w:r>
              <w:rPr>
                <w:rFonts w:hint="eastAsia" w:eastAsia="宋体"/>
                <w:color w:val="000000"/>
                <w:szCs w:val="24"/>
                <w:lang w:val="en-US" w:eastAsia="zh-CN"/>
              </w:rPr>
              <w:t>1、</w:t>
            </w:r>
            <w:r>
              <w:rPr>
                <w:rFonts w:hint="eastAsia" w:eastAsia="宋体"/>
                <w:color w:val="000000"/>
                <w:szCs w:val="24"/>
              </w:rPr>
              <w:t>工</w:t>
            </w:r>
            <w:r>
              <w:rPr>
                <w:rFonts w:ascii="Times New Roman" w:hAnsi="Times New Roman" w:eastAsia="宋体" w:cs="Times New Roman"/>
                <w:color w:val="000000"/>
                <w:szCs w:val="24"/>
              </w:rPr>
              <w:t>程建设内容：</w:t>
            </w:r>
            <w:r>
              <w:rPr>
                <w:rFonts w:hint="eastAsia" w:ascii="Times New Roman" w:hAnsi="Times New Roman" w:eastAsia="宋体" w:cs="Times New Roman"/>
                <w:color w:val="000000"/>
                <w:szCs w:val="24"/>
                <w:lang w:eastAsia="zh-CN"/>
              </w:rPr>
              <w:t>项目位于晴隆县沙子镇沙子村，</w:t>
            </w:r>
            <w:r>
              <w:rPr>
                <w:rFonts w:hint="eastAsia" w:ascii="Times New Roman" w:hAnsi="Times New Roman" w:eastAsia="宋体" w:cs="Times New Roman"/>
                <w:color w:val="000000"/>
                <w:szCs w:val="24"/>
              </w:rPr>
              <w:t>占地面积51186平方米</w:t>
            </w:r>
            <w:r>
              <w:rPr>
                <w:rFonts w:hint="eastAsia" w:ascii="Times New Roman" w:hAnsi="Times New Roman" w:eastAsia="宋体" w:cs="Times New Roman"/>
                <w:color w:val="000000"/>
                <w:szCs w:val="24"/>
                <w:lang w:eastAsia="zh-CN"/>
              </w:rPr>
              <w:t>，</w:t>
            </w:r>
            <w:r>
              <w:rPr>
                <w:rFonts w:hint="eastAsia" w:ascii="Times New Roman" w:hAnsi="Times New Roman" w:eastAsia="宋体" w:cs="Times New Roman"/>
                <w:color w:val="000000"/>
                <w:szCs w:val="24"/>
              </w:rPr>
              <w:t>建设规模：罐区总容积12000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，储存汽油3000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，柴油9000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。含4000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柴油储罐2座，1000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柴油储罐1座，1000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汽油储罐1座，500</w:t>
            </w:r>
            <w:r>
              <w:rPr>
                <w:rFonts w:hint="eastAsia" w:ascii="Times New Roman" w:hAnsi="Times New Roman" w:eastAsia="宋体" w:cs="Times New Roman"/>
                <w:color w:val="000000"/>
                <w:szCs w:val="24"/>
                <w:lang w:eastAsia="zh-CN"/>
              </w:rPr>
              <w:t>m³</w:t>
            </w:r>
            <w:r>
              <w:rPr>
                <w:rFonts w:hint="eastAsia" w:ascii="Times New Roman" w:hAnsi="Times New Roman" w:eastAsia="宋体" w:cs="Times New Roman"/>
                <w:color w:val="000000"/>
                <w:szCs w:val="24"/>
              </w:rPr>
              <w:t>汽油储罐4座。总建筑面积3014</w:t>
            </w:r>
            <w:r>
              <w:rPr>
                <w:rFonts w:hint="eastAsia" w:ascii="Times New Roman" w:hAnsi="Times New Roman" w:eastAsia="宋体" w:cs="Times New Roman"/>
                <w:color w:val="000000"/>
                <w:szCs w:val="24"/>
                <w:lang w:eastAsia="zh-CN"/>
              </w:rPr>
              <w:t>㎡、</w:t>
            </w:r>
            <w:r>
              <w:rPr>
                <w:rFonts w:hint="eastAsia" w:ascii="Times New Roman" w:hAnsi="Times New Roman" w:eastAsia="宋体" w:cs="Times New Roman"/>
                <w:color w:val="000000"/>
                <w:szCs w:val="24"/>
              </w:rPr>
              <w:t>4罐区总面积4288</w:t>
            </w:r>
            <w:r>
              <w:rPr>
                <w:rFonts w:hint="eastAsia" w:ascii="Times New Roman" w:hAnsi="Times New Roman" w:eastAsia="宋体" w:cs="Times New Roman"/>
                <w:color w:val="000000"/>
                <w:szCs w:val="24"/>
                <w:lang w:eastAsia="zh-CN"/>
              </w:rPr>
              <w:t>㎡、</w:t>
            </w:r>
            <w:r>
              <w:rPr>
                <w:rFonts w:hint="eastAsia" w:ascii="Times New Roman" w:hAnsi="Times New Roman" w:eastAsia="宋体" w:cs="Times New Roman"/>
                <w:color w:val="000000"/>
                <w:szCs w:val="24"/>
              </w:rPr>
              <w:t>柴油灌区1888</w:t>
            </w:r>
            <w:r>
              <w:rPr>
                <w:rFonts w:hint="eastAsia" w:ascii="Times New Roman" w:hAnsi="Times New Roman" w:eastAsia="宋体" w:cs="Times New Roman"/>
                <w:color w:val="000000"/>
                <w:szCs w:val="24"/>
                <w:lang w:eastAsia="zh-CN"/>
              </w:rPr>
              <w:t>㎡</w:t>
            </w:r>
            <w:r>
              <w:rPr>
                <w:rFonts w:hint="eastAsia" w:ascii="Times New Roman" w:hAnsi="Times New Roman" w:eastAsia="宋体" w:cs="Times New Roman"/>
                <w:color w:val="000000"/>
                <w:szCs w:val="24"/>
              </w:rPr>
              <w:t>，汽、柴油灌区2400</w:t>
            </w:r>
            <w:r>
              <w:rPr>
                <w:rFonts w:hint="eastAsia" w:ascii="Times New Roman" w:hAnsi="Times New Roman" w:eastAsia="宋体" w:cs="Times New Roman"/>
                <w:color w:val="000000"/>
                <w:szCs w:val="24"/>
                <w:lang w:eastAsia="zh-CN"/>
              </w:rPr>
              <w:t>㎡；泵区3300㎡、发油区629㎡、油库综合楼650㎡，</w:t>
            </w:r>
            <w:r>
              <w:rPr>
                <w:rFonts w:hint="eastAsia" w:ascii="Times New Roman" w:hAnsi="Times New Roman" w:eastAsia="宋体" w:cs="Times New Roman"/>
                <w:color w:val="000000"/>
                <w:szCs w:val="24"/>
                <w:lang w:val="en-US" w:eastAsia="zh-CN"/>
              </w:rPr>
              <w:t>2</w:t>
            </w:r>
            <w:r>
              <w:rPr>
                <w:rFonts w:hint="eastAsia" w:ascii="Times New Roman" w:hAnsi="Times New Roman" w:eastAsia="宋体" w:cs="Times New Roman"/>
                <w:color w:val="000000"/>
                <w:szCs w:val="24"/>
                <w:lang w:eastAsia="zh-CN"/>
              </w:rPr>
              <w:t>层泵站综合楼756㎡3层，业务室40㎡单层，警消室50㎡单层，值班50㎡单层，发电房120㎡单层，配电房375㎡单层，泵站宿舍182㎡单层，消防泵房162㎡单层，油水分离池200m³、化粪池10m³、事故应急池</w:t>
            </w:r>
            <w:r>
              <w:rPr>
                <w:rFonts w:hint="eastAsia" w:ascii="Times New Roman" w:hAnsi="Times New Roman" w:eastAsia="宋体" w:cs="Times New Roman"/>
                <w:color w:val="000000"/>
                <w:szCs w:val="24"/>
                <w:lang w:val="en-US" w:eastAsia="zh-CN"/>
              </w:rPr>
              <w:t>2000</w:t>
            </w:r>
            <w:r>
              <w:rPr>
                <w:rFonts w:hint="eastAsia" w:ascii="Times New Roman" w:hAnsi="Times New Roman" w:eastAsia="宋体" w:cs="Times New Roman"/>
                <w:color w:val="000000"/>
                <w:szCs w:val="24"/>
                <w:lang w:eastAsia="zh-CN"/>
              </w:rPr>
              <w:t>m³、绿化面积</w:t>
            </w:r>
            <w:r>
              <w:rPr>
                <w:rFonts w:hint="eastAsia" w:ascii="Times New Roman" w:hAnsi="Times New Roman" w:eastAsia="宋体" w:cs="Times New Roman"/>
                <w:color w:val="000000"/>
                <w:szCs w:val="24"/>
                <w:lang w:val="en-US" w:eastAsia="zh-CN"/>
              </w:rPr>
              <w:t>1000㎡</w:t>
            </w:r>
            <w:r>
              <w:rPr>
                <w:rFonts w:hint="eastAsia" w:ascii="Times New Roman" w:hAnsi="Times New Roman" w:eastAsia="宋体" w:cs="Times New Roman"/>
                <w:color w:val="000000"/>
                <w:szCs w:val="24"/>
                <w:lang w:eastAsia="zh-CN"/>
              </w:rPr>
              <w:t>；</w:t>
            </w:r>
            <w:r>
              <w:rPr>
                <w:rFonts w:hint="eastAsia" w:ascii="Times New Roman" w:hAnsi="Times New Roman" w:eastAsia="宋体" w:cs="Times New Roman"/>
                <w:color w:val="000000"/>
                <w:szCs w:val="24"/>
              </w:rPr>
              <w:t>周转规模：成品油周转总量35万吨/年，其中汽油8.75万吨/年，柴油26.25万吨/年。项目</w:t>
            </w:r>
            <w:r>
              <w:rPr>
                <w:rFonts w:hint="eastAsia" w:ascii="Times New Roman" w:hAnsi="Times New Roman" w:eastAsia="宋体" w:cs="Times New Roman"/>
                <w:color w:val="000000"/>
                <w:szCs w:val="24"/>
                <w:lang w:eastAsia="zh-CN"/>
              </w:rPr>
              <w:t>于</w:t>
            </w:r>
            <w:r>
              <w:rPr>
                <w:rFonts w:hint="eastAsia" w:ascii="Times New Roman" w:hAnsi="Times New Roman" w:eastAsia="宋体" w:cs="Times New Roman"/>
                <w:color w:val="000000"/>
                <w:szCs w:val="24"/>
                <w:lang w:val="en-US" w:eastAsia="zh-CN"/>
              </w:rPr>
              <w:t>2006年开工建设，2008年竣工，</w:t>
            </w:r>
            <w:r>
              <w:rPr>
                <w:rFonts w:hint="eastAsia" w:ascii="Times New Roman" w:hAnsi="Times New Roman" w:eastAsia="宋体" w:cs="Times New Roman"/>
                <w:color w:val="000000"/>
                <w:szCs w:val="24"/>
              </w:rPr>
              <w:t>职工定员23人，含管理人员1人，操作人员22人。实行两班制，每班11人，</w:t>
            </w:r>
            <w:r>
              <w:rPr>
                <w:rFonts w:hint="eastAsia" w:ascii="Times New Roman" w:hAnsi="Times New Roman" w:eastAsia="宋体" w:cs="Times New Roman"/>
                <w:color w:val="000000"/>
                <w:szCs w:val="24"/>
                <w:lang w:eastAsia="zh-CN"/>
              </w:rPr>
              <w:t>长期食宿人员</w:t>
            </w:r>
            <w:r>
              <w:rPr>
                <w:rFonts w:hint="eastAsia" w:ascii="Times New Roman" w:hAnsi="Times New Roman" w:eastAsia="宋体" w:cs="Times New Roman"/>
                <w:color w:val="000000"/>
                <w:szCs w:val="24"/>
                <w:lang w:val="en-US" w:eastAsia="zh-CN"/>
              </w:rPr>
              <w:t>8人，</w:t>
            </w:r>
            <w:r>
              <w:rPr>
                <w:rFonts w:hint="eastAsia" w:ascii="Times New Roman" w:hAnsi="Times New Roman" w:eastAsia="宋体" w:cs="Times New Roman"/>
                <w:color w:val="000000"/>
                <w:szCs w:val="24"/>
              </w:rPr>
              <w:t>年工作330天。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8223" w:hRule="atLeast"/>
          <w:jc w:val="center"/>
        </w:trPr>
        <w:tc>
          <w:tcPr>
            <w:tcW w:w="9718" w:type="dxa"/>
            <w:vAlign w:val="top"/>
          </w:tcPr>
          <w:p>
            <w:pPr>
              <w:keepNext w:val="0"/>
              <w:keepLines w:val="0"/>
              <w:pageBreakBefore w:val="0"/>
              <w:widowControl/>
              <w:numPr>
                <w:ilvl w:val="0"/>
                <w:numId w:val="2"/>
              </w:numPr>
              <w:kinsoku/>
              <w:wordWrap/>
              <w:overflowPunct/>
              <w:topLinePunct w:val="0"/>
              <w:autoSpaceDE/>
              <w:autoSpaceDN/>
              <w:bidi w:val="0"/>
              <w:adjustRightInd w:val="0"/>
              <w:snapToGrid w:val="0"/>
              <w:spacing w:before="181" w:beforeLines="50" w:after="0" w:line="360" w:lineRule="auto"/>
              <w:ind w:firstLine="480" w:firstLineChars="200"/>
              <w:jc w:val="both"/>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项目</w:t>
            </w:r>
            <w:r>
              <w:rPr>
                <w:rFonts w:hint="eastAsia" w:ascii="宋体" w:hAnsi="宋体" w:eastAsia="宋体" w:cs="宋体"/>
                <w:color w:val="000000"/>
                <w:sz w:val="24"/>
                <w:szCs w:val="24"/>
              </w:rPr>
              <w:t>原辅材料消耗：</w:t>
            </w:r>
          </w:p>
          <w:p>
            <w:pPr>
              <w:pStyle w:val="20"/>
              <w:spacing w:line="360" w:lineRule="auto"/>
              <w:rPr>
                <w:rFonts w:hint="eastAsia" w:ascii="宋体" w:hAnsi="宋体" w:eastAsia="宋体" w:cs="宋体"/>
              </w:rPr>
            </w:pP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eastAsia="zh-CN"/>
              </w:rPr>
              <w:t>）项目原辅材料消耗情况见表</w:t>
            </w:r>
            <w:r>
              <w:rPr>
                <w:rFonts w:hint="eastAsia" w:ascii="宋体" w:hAnsi="宋体" w:eastAsia="宋体" w:cs="宋体"/>
                <w:color w:val="000000"/>
                <w:sz w:val="24"/>
                <w:szCs w:val="24"/>
                <w:lang w:val="en-US" w:eastAsia="zh-CN"/>
              </w:rPr>
              <w:t>2-1。</w:t>
            </w:r>
          </w:p>
          <w:p>
            <w:pPr>
              <w:ind w:firstLine="3840" w:firstLineChars="1600"/>
              <w:jc w:val="both"/>
              <w:rPr>
                <w:rFonts w:ascii="宋体" w:hAnsi="宋体" w:eastAsia="宋体" w:cs="宋体"/>
                <w:color w:val="000000"/>
                <w:sz w:val="24"/>
                <w:szCs w:val="24"/>
              </w:rPr>
            </w:pPr>
            <w:r>
              <w:rPr>
                <w:rFonts w:hint="eastAsia" w:ascii="宋体" w:hAnsi="宋体" w:eastAsia="宋体" w:cs="宋体"/>
                <w:color w:val="000000"/>
                <w:sz w:val="24"/>
                <w:szCs w:val="24"/>
                <w:lang w:val="en-US" w:eastAsia="zh-CN"/>
              </w:rPr>
              <w:t>2-1</w:t>
            </w:r>
            <w:r>
              <w:rPr>
                <w:rFonts w:hint="eastAsia" w:ascii="宋体" w:hAnsi="宋体" w:eastAsia="宋体" w:cs="宋体"/>
                <w:color w:val="000000"/>
                <w:sz w:val="24"/>
                <w:szCs w:val="24"/>
              </w:rPr>
              <w:t>原辅材料消耗</w:t>
            </w:r>
          </w:p>
          <w:tbl>
            <w:tblPr>
              <w:tblStyle w:val="18"/>
              <w:tblW w:w="901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8"/>
              <w:gridCol w:w="2418"/>
              <w:gridCol w:w="2095"/>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224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241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名称</w:t>
                  </w:r>
                </w:p>
              </w:tc>
              <w:tc>
                <w:tcPr>
                  <w:tcW w:w="2095"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用量（万t/a）</w:t>
                  </w:r>
                </w:p>
              </w:tc>
              <w:tc>
                <w:tcPr>
                  <w:tcW w:w="22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2" w:hRule="atLeast"/>
                <w:jc w:val="center"/>
              </w:trPr>
              <w:tc>
                <w:tcPr>
                  <w:tcW w:w="2248" w:type="dxa"/>
                  <w:vMerge w:val="restar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主要产品</w:t>
                  </w:r>
                </w:p>
              </w:tc>
              <w:tc>
                <w:tcPr>
                  <w:tcW w:w="241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汽油</w:t>
                  </w:r>
                </w:p>
              </w:tc>
              <w:tc>
                <w:tcPr>
                  <w:tcW w:w="2095"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8.75</w:t>
                  </w:r>
                </w:p>
              </w:tc>
              <w:tc>
                <w:tcPr>
                  <w:tcW w:w="2256" w:type="dxa"/>
                  <w:vMerge w:val="restar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外购，管道输送，汽车运出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0" w:hRule="atLeast"/>
                <w:jc w:val="center"/>
              </w:trPr>
              <w:tc>
                <w:tcPr>
                  <w:tcW w:w="2248" w:type="dxa"/>
                  <w:vMerge w:val="continue"/>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p>
              </w:tc>
              <w:tc>
                <w:tcPr>
                  <w:tcW w:w="241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柴油</w:t>
                  </w:r>
                </w:p>
              </w:tc>
              <w:tc>
                <w:tcPr>
                  <w:tcW w:w="2095"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26.25</w:t>
                  </w:r>
                </w:p>
              </w:tc>
              <w:tc>
                <w:tcPr>
                  <w:tcW w:w="2256" w:type="dxa"/>
                  <w:vMerge w:val="continue"/>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atLeast"/>
                <w:jc w:val="center"/>
              </w:trPr>
              <w:tc>
                <w:tcPr>
                  <w:tcW w:w="2248" w:type="dxa"/>
                  <w:vMerge w:val="restart"/>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能源</w:t>
                  </w:r>
                </w:p>
              </w:tc>
              <w:tc>
                <w:tcPr>
                  <w:tcW w:w="241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电</w:t>
                  </w:r>
                </w:p>
              </w:tc>
              <w:tc>
                <w:tcPr>
                  <w:tcW w:w="2095"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15000度</w:t>
                  </w:r>
                </w:p>
              </w:tc>
              <w:tc>
                <w:tcPr>
                  <w:tcW w:w="22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市政供电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hRule="atLeast"/>
                <w:jc w:val="center"/>
              </w:trPr>
              <w:tc>
                <w:tcPr>
                  <w:tcW w:w="2248" w:type="dxa"/>
                  <w:vMerge w:val="continue"/>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p>
              </w:tc>
              <w:tc>
                <w:tcPr>
                  <w:tcW w:w="2418"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bCs/>
                      <w:color w:val="auto"/>
                      <w:sz w:val="21"/>
                      <w:szCs w:val="21"/>
                    </w:rPr>
                  </w:pPr>
                  <w:r>
                    <w:rPr>
                      <w:rFonts w:hint="eastAsia" w:ascii="宋体" w:hAnsi="宋体" w:eastAsia="宋体" w:cs="宋体"/>
                      <w:bCs/>
                      <w:color w:val="auto"/>
                      <w:sz w:val="21"/>
                      <w:szCs w:val="21"/>
                    </w:rPr>
                    <w:t>水</w:t>
                  </w:r>
                </w:p>
              </w:tc>
              <w:tc>
                <w:tcPr>
                  <w:tcW w:w="2095"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450.5</w:t>
                  </w:r>
                </w:p>
              </w:tc>
              <w:tc>
                <w:tcPr>
                  <w:tcW w:w="22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自来水管网</w:t>
                  </w:r>
                </w:p>
              </w:tc>
            </w:tr>
          </w:tbl>
          <w:p>
            <w:pPr>
              <w:keepNext w:val="0"/>
              <w:keepLines w:val="0"/>
              <w:pageBreakBefore w:val="0"/>
              <w:widowControl/>
              <w:numPr>
                <w:ilvl w:val="0"/>
                <w:numId w:val="0"/>
              </w:numPr>
              <w:kinsoku/>
              <w:wordWrap/>
              <w:overflowPunct/>
              <w:topLinePunct w:val="0"/>
              <w:autoSpaceDE/>
              <w:autoSpaceDN/>
              <w:bidi w:val="0"/>
              <w:adjustRightInd w:val="0"/>
              <w:snapToGrid w:val="0"/>
              <w:spacing w:before="181" w:beforeLines="50" w:after="0" w:line="360" w:lineRule="auto"/>
              <w:ind w:firstLine="240" w:firstLineChars="100"/>
              <w:textAlignment w:val="auto"/>
              <w:outlineLvl w:val="9"/>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（2）项目水平衡图见图2-2。</w:t>
            </w:r>
          </w:p>
          <w:p>
            <w:pPr>
              <w:keepNext w:val="0"/>
              <w:keepLines w:val="0"/>
              <w:pageBreakBefore w:val="0"/>
              <w:widowControl/>
              <w:numPr>
                <w:ilvl w:val="0"/>
                <w:numId w:val="0"/>
              </w:numPr>
              <w:kinsoku/>
              <w:wordWrap/>
              <w:overflowPunct/>
              <w:topLinePunct w:val="0"/>
              <w:autoSpaceDE/>
              <w:autoSpaceDN/>
              <w:bidi w:val="0"/>
              <w:adjustRightInd w:val="0"/>
              <w:snapToGrid w:val="0"/>
              <w:spacing w:after="0"/>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2-2项目</w:t>
            </w:r>
            <w:r>
              <w:rPr>
                <w:rFonts w:hint="eastAsia" w:ascii="宋体" w:hAnsi="宋体" w:eastAsia="宋体" w:cs="宋体"/>
                <w:sz w:val="24"/>
                <w:szCs w:val="24"/>
              </w:rPr>
              <w:t>水平衡图</w:t>
            </w:r>
          </w:p>
          <w:p>
            <w:pPr>
              <w:pStyle w:val="2"/>
            </w:pPr>
          </w:p>
          <w:p>
            <w:pPr>
              <w:keepNext w:val="0"/>
              <w:keepLines w:val="0"/>
              <w:pageBreakBefore w:val="0"/>
              <w:widowControl/>
              <w:kinsoku/>
              <w:wordWrap/>
              <w:overflowPunct/>
              <w:topLinePunct w:val="0"/>
              <w:autoSpaceDE/>
              <w:autoSpaceDN/>
              <w:bidi w:val="0"/>
              <w:adjustRightInd w:val="0"/>
              <w:snapToGrid w:val="0"/>
              <w:spacing w:before="48" w:beforeLines="20" w:after="0" w:line="240" w:lineRule="auto"/>
              <w:jc w:val="center"/>
              <w:textAlignment w:val="auto"/>
              <w:outlineLvl w:val="9"/>
              <w:rPr>
                <w:rFonts w:ascii="宋体" w:hAnsi="宋体" w:eastAsia="宋体"/>
                <w:color w:val="000000"/>
                <w:sz w:val="21"/>
                <w:szCs w:val="21"/>
              </w:rPr>
            </w:pPr>
            <w:r>
              <w:rPr>
                <w:rFonts w:hint="default" w:ascii="Times New Roman" w:hAnsi="Times New Roman" w:cs="Times New Roman"/>
                <w:color w:val="auto"/>
                <w:kern w:val="0"/>
                <w:lang w:bidi="ar"/>
              </w:rPr>
              <w:fldChar w:fldCharType="begin"/>
            </w:r>
            <w:r>
              <w:rPr>
                <w:rFonts w:hint="default" w:ascii="Times New Roman" w:hAnsi="Times New Roman" w:cs="Times New Roman"/>
                <w:color w:val="auto"/>
                <w:kern w:val="0"/>
                <w:lang w:bidi="ar"/>
              </w:rPr>
              <w:instrText xml:space="preserve">INCLUDEPICTURE \d "C:\\Users\\Administrator\\AppData\\Roaming\\Tencent\\Users\\182037182\\QQ\\WinTemp\\RichOle\\`}S)Q[(LSX_)U4T9DCOMQRC.png" \* MERGEFORMATINET </w:instrText>
            </w:r>
            <w:r>
              <w:rPr>
                <w:rFonts w:hint="default" w:ascii="Times New Roman" w:hAnsi="Times New Roman" w:cs="Times New Roman"/>
                <w:color w:val="auto"/>
                <w:kern w:val="0"/>
                <w:lang w:bidi="ar"/>
              </w:rPr>
              <w:fldChar w:fldCharType="separate"/>
            </w:r>
            <w:r>
              <w:rPr>
                <w:rFonts w:hint="default" w:ascii="Times New Roman" w:hAnsi="Times New Roman" w:cs="Times New Roman"/>
                <w:color w:val="auto"/>
                <w:kern w:val="0"/>
                <w:lang w:bidi="ar"/>
              </w:rPr>
              <w:drawing>
                <wp:inline distT="0" distB="0" distL="114300" distR="114300">
                  <wp:extent cx="5002530" cy="1457325"/>
                  <wp:effectExtent l="0" t="0" r="7620" b="9525"/>
                  <wp:docPr id="1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IMG_256"/>
                          <pic:cNvPicPr>
                            <a:picLocks noChangeAspect="1"/>
                          </pic:cNvPicPr>
                        </pic:nvPicPr>
                        <pic:blipFill>
                          <a:blip r:embed="rId20"/>
                          <a:stretch>
                            <a:fillRect/>
                          </a:stretch>
                        </pic:blipFill>
                        <pic:spPr>
                          <a:xfrm>
                            <a:off x="0" y="0"/>
                            <a:ext cx="5002530" cy="1457325"/>
                          </a:xfrm>
                          <a:prstGeom prst="rect">
                            <a:avLst/>
                          </a:prstGeom>
                          <a:noFill/>
                          <a:ln w="9525">
                            <a:noFill/>
                          </a:ln>
                        </pic:spPr>
                      </pic:pic>
                    </a:graphicData>
                  </a:graphic>
                </wp:inline>
              </w:drawing>
            </w:r>
            <w:r>
              <w:rPr>
                <w:rFonts w:hint="default" w:ascii="Times New Roman" w:hAnsi="Times New Roman" w:cs="Times New Roman"/>
                <w:color w:val="auto"/>
                <w:kern w:val="0"/>
                <w:lang w:bidi="ar"/>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13358" w:hRule="atLeast"/>
          <w:jc w:val="center"/>
        </w:trPr>
        <w:tc>
          <w:tcPr>
            <w:tcW w:w="9718" w:type="dxa"/>
          </w:tcPr>
          <w:p>
            <w:pPr>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482"/>
              <w:textAlignment w:val="auto"/>
              <w:outlineLvl w:val="9"/>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主要工艺流程及产物环节（附处理工艺流程图，标出产污节点）</w:t>
            </w:r>
          </w:p>
          <w:p>
            <w:pPr>
              <w:spacing w:line="360" w:lineRule="auto"/>
              <w:ind w:firstLine="480"/>
              <w:rPr>
                <w:rFonts w:hint="eastAsia"/>
              </w:rPr>
            </w:pPr>
            <w:r>
              <w:rPr>
                <w:rFonts w:hint="eastAsia" w:ascii="宋体" w:hAnsi="宋体" w:eastAsia="宋体" w:cs="宋体"/>
                <w:sz w:val="24"/>
                <w:szCs w:val="24"/>
              </w:rPr>
              <w:t>成品油管道总公司的成品油，通过总公司进行管道输送，通过汽油离心泵将汽油输入至汽油储罐进行储存；来自西南成品油管道总公司的成品油，通过总公司进行管道输送，通过柴油离心泵将柴油输入至柴油储罐进行储存。汽油通过汽油装车泵输送至安装的装车平台上的汽油装车鹤管，柴油通过柴油装车泵输送至安装的装车平台上的柴油装车鹤管，汽油、柴油可按需要满足双鹤位同时装车或单鹤位装车的流量要求，油罐车经过专用管道、专用装车鹤管计量装车，经地磅复核计量后外销。</w:t>
            </w:r>
          </w:p>
          <w:p>
            <w:pPr>
              <w:spacing w:before="48" w:beforeLines="20" w:line="360" w:lineRule="auto"/>
              <w:jc w:val="center"/>
            </w:pPr>
            <w:r>
              <w:drawing>
                <wp:inline distT="0" distB="0" distL="114300" distR="114300">
                  <wp:extent cx="5342890" cy="1741805"/>
                  <wp:effectExtent l="0" t="0" r="10160" b="1079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1"/>
                          <a:stretch>
                            <a:fillRect/>
                          </a:stretch>
                        </pic:blipFill>
                        <pic:spPr>
                          <a:xfrm>
                            <a:off x="0" y="0"/>
                            <a:ext cx="5342890" cy="1741805"/>
                          </a:xfrm>
                          <a:prstGeom prst="rect">
                            <a:avLst/>
                          </a:prstGeom>
                          <a:noFill/>
                          <a:ln w="9525">
                            <a:noFill/>
                          </a:ln>
                        </pic:spPr>
                      </pic:pic>
                    </a:graphicData>
                  </a:graphic>
                </wp:inline>
              </w:drawing>
            </w:r>
          </w:p>
          <w:p>
            <w:pPr>
              <w:pStyle w:val="2"/>
              <w:jc w:val="center"/>
              <w:rPr>
                <w:rFonts w:hint="eastAsia" w:eastAsia="宋体"/>
                <w:lang w:eastAsia="zh-CN"/>
              </w:rPr>
            </w:pPr>
            <w:r>
              <w:rPr>
                <w:rFonts w:hint="eastAsia" w:ascii="Times New Roman" w:hAnsi="Times New Roman" w:cs="Times New Roman"/>
                <w:b/>
                <w:color w:val="auto"/>
                <w:sz w:val="24"/>
                <w:szCs w:val="24"/>
                <w:lang w:val="en-US" w:eastAsia="zh-CN"/>
              </w:rPr>
              <w:t>2-3</w:t>
            </w:r>
            <w:r>
              <w:rPr>
                <w:rFonts w:hint="default" w:ascii="Times New Roman" w:hAnsi="Times New Roman" w:cs="Times New Roman"/>
                <w:b/>
                <w:color w:val="auto"/>
                <w:sz w:val="24"/>
                <w:szCs w:val="24"/>
              </w:rPr>
              <w:t>油库储运工艺流程及产污节点</w:t>
            </w:r>
            <w:r>
              <w:rPr>
                <w:rFonts w:hint="eastAsia" w:ascii="Times New Roman" w:hAnsi="Times New Roman" w:cs="Times New Roman"/>
                <w:b/>
                <w:color w:val="auto"/>
                <w:sz w:val="24"/>
                <w:szCs w:val="24"/>
                <w:lang w:eastAsia="zh-CN"/>
              </w:rPr>
              <w:t>图</w:t>
            </w:r>
          </w:p>
        </w:tc>
      </w:tr>
    </w:tbl>
    <w:p>
      <w:pPr>
        <w:spacing w:line="360" w:lineRule="auto"/>
        <w:rPr>
          <w:rFonts w:eastAsia="仿宋_GB2312"/>
          <w:color w:val="000000"/>
          <w:sz w:val="21"/>
          <w:szCs w:val="21"/>
        </w:rPr>
        <w:sectPr>
          <w:footerReference r:id="rId12" w:type="default"/>
          <w:pgSz w:w="11906" w:h="16838"/>
          <w:pgMar w:top="1440" w:right="1800" w:bottom="1440" w:left="1800" w:header="708" w:footer="708" w:gutter="0"/>
          <w:pgNumType w:start="1"/>
          <w:cols w:space="720" w:num="1"/>
          <w:docGrid w:linePitch="360" w:charSpace="0"/>
        </w:sectPr>
      </w:pPr>
    </w:p>
    <w:p>
      <w:pPr>
        <w:spacing w:after="0" w:line="360" w:lineRule="auto"/>
        <w:rPr>
          <w:rFonts w:ascii="宋体" w:hAnsi="宋体" w:eastAsia="宋体" w:cs="宋体"/>
          <w:b/>
          <w:color w:val="000000"/>
          <w:sz w:val="28"/>
          <w:szCs w:val="28"/>
        </w:rPr>
      </w:pPr>
      <w:bookmarkStart w:id="14" w:name="_Toc22581_WPSOffice_Level1"/>
      <w:r>
        <w:rPr>
          <w:rFonts w:hint="eastAsia" w:ascii="宋体" w:hAnsi="宋体" w:eastAsia="宋体" w:cs="宋体"/>
          <w:b/>
          <w:color w:val="000000"/>
          <w:sz w:val="28"/>
          <w:szCs w:val="28"/>
        </w:rPr>
        <w:t>表三  主要污染源、污染物处理和排放</w:t>
      </w:r>
      <w:bookmarkEnd w:id="14"/>
    </w:p>
    <w:tbl>
      <w:tblPr>
        <w:tblStyle w:val="18"/>
        <w:tblW w:w="960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85" w:hRule="atLeast"/>
          <w:jc w:val="center"/>
        </w:trPr>
        <w:tc>
          <w:tcPr>
            <w:tcW w:w="9600" w:type="dxa"/>
          </w:tcPr>
          <w:p>
            <w:pPr>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422" w:firstLineChars="200"/>
              <w:textAlignment w:val="auto"/>
              <w:outlineLvl w:val="9"/>
              <w:rPr>
                <w:rFonts w:hint="eastAsia" w:ascii="宋体" w:hAnsi="宋体" w:eastAsia="宋体" w:cs="宋体"/>
                <w:b/>
                <w:sz w:val="21"/>
                <w:szCs w:val="21"/>
              </w:rPr>
            </w:pPr>
            <w:r>
              <w:rPr>
                <w:rFonts w:hint="eastAsia" w:ascii="宋体" w:hAnsi="宋体" w:eastAsia="宋体" w:cs="宋体"/>
                <w:b/>
                <w:sz w:val="21"/>
                <w:szCs w:val="21"/>
              </w:rPr>
              <w:t>1、大气污染物</w:t>
            </w:r>
          </w:p>
          <w:p>
            <w:pPr>
              <w:keepNext w:val="0"/>
              <w:keepLines w:val="0"/>
              <w:pageBreakBefore w:val="0"/>
              <w:widowControl/>
              <w:kinsoku/>
              <w:wordWrap/>
              <w:overflowPunct/>
              <w:topLinePunct w:val="0"/>
              <w:autoSpaceDE/>
              <w:autoSpaceDN/>
              <w:bidi w:val="0"/>
              <w:adjustRightInd w:val="0"/>
              <w:snapToGrid w:val="0"/>
              <w:spacing w:after="0" w:line="360" w:lineRule="auto"/>
              <w:ind w:firstLine="482"/>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油品装车平台汽油油气（有组织）</w:t>
            </w:r>
          </w:p>
          <w:p>
            <w:pPr>
              <w:keepNext w:val="0"/>
              <w:keepLines w:val="0"/>
              <w:pageBreakBefore w:val="0"/>
              <w:widowControl/>
              <w:kinsoku/>
              <w:wordWrap/>
              <w:overflowPunct/>
              <w:topLinePunct w:val="0"/>
              <w:autoSpaceDE/>
              <w:autoSpaceDN/>
              <w:bidi w:val="0"/>
              <w:adjustRightInd w:val="0"/>
              <w:snapToGrid w:val="0"/>
              <w:spacing w:after="0" w:line="360" w:lineRule="auto"/>
              <w:ind w:firstLine="0"/>
              <w:jc w:val="left"/>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 xml:space="preserve">    项目</w:t>
            </w:r>
            <w:r>
              <w:rPr>
                <w:rFonts w:hint="eastAsia" w:ascii="宋体" w:hAnsi="宋体" w:eastAsia="宋体" w:cs="宋体"/>
                <w:color w:val="auto"/>
                <w:sz w:val="24"/>
                <w:szCs w:val="24"/>
              </w:rPr>
              <w:t>油品装车过程中油气，经油气回收装置回收处理后，距地平面高度4m以上排放。油气排放浓度可满足《储油库大气污染物排放标准》（GB20952-2007）中表1排放标准</w:t>
            </w:r>
            <w:r>
              <w:rPr>
                <w:rFonts w:hint="eastAsia" w:ascii="宋体" w:hAnsi="宋体" w:eastAsia="宋体" w:cs="宋体"/>
                <w:color w:val="auto"/>
                <w:sz w:val="24"/>
                <w:szCs w:val="24"/>
                <w:lang w:val="en-US" w:eastAsia="zh-CN"/>
              </w:rPr>
              <w:t>(≤25</w:t>
            </w:r>
            <w:r>
              <w:rPr>
                <w:rFonts w:hint="eastAsia" w:ascii="宋体" w:hAnsi="宋体" w:eastAsia="宋体" w:cs="宋体"/>
                <w:color w:val="auto"/>
                <w:sz w:val="24"/>
                <w:szCs w:val="24"/>
              </w:rPr>
              <w:t>g/</w:t>
            </w:r>
            <w:r>
              <w:rPr>
                <w:rFonts w:hint="eastAsia" w:ascii="宋体" w:hAnsi="宋体" w:eastAsia="宋体" w:cs="宋体"/>
                <w:color w:val="auto"/>
                <w:sz w:val="24"/>
                <w:szCs w:val="24"/>
                <w:lang w:eastAsia="zh-CN"/>
              </w:rPr>
              <w:t>m³</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szCs w:val="24"/>
              </w:rPr>
              <w:t>的要求。</w:t>
            </w:r>
          </w:p>
          <w:p>
            <w:pPr>
              <w:keepNext w:val="0"/>
              <w:keepLines w:val="0"/>
              <w:pageBreakBefore w:val="0"/>
              <w:widowControl/>
              <w:kinsoku/>
              <w:wordWrap/>
              <w:overflowPunct/>
              <w:topLinePunct w:val="0"/>
              <w:autoSpaceDE/>
              <w:autoSpaceDN/>
              <w:bidi w:val="0"/>
              <w:adjustRightInd w:val="0"/>
              <w:snapToGrid w:val="0"/>
              <w:spacing w:after="0" w:line="360" w:lineRule="auto"/>
              <w:jc w:val="center"/>
              <w:textAlignment w:val="auto"/>
              <w:outlineLvl w:val="9"/>
            </w:pPr>
            <w:r>
              <w:drawing>
                <wp:inline distT="0" distB="0" distL="114300" distR="114300">
                  <wp:extent cx="5495925" cy="3209925"/>
                  <wp:effectExtent l="0" t="0" r="9525" b="952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2"/>
                          <a:stretch>
                            <a:fillRect/>
                          </a:stretch>
                        </pic:blipFill>
                        <pic:spPr>
                          <a:xfrm>
                            <a:off x="0" y="0"/>
                            <a:ext cx="5495925" cy="3209925"/>
                          </a:xfrm>
                          <a:prstGeom prst="rect">
                            <a:avLst/>
                          </a:prstGeom>
                          <a:noFill/>
                          <a:ln w="9525">
                            <a:noFill/>
                          </a:ln>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after="0" w:line="360" w:lineRule="auto"/>
              <w:jc w:val="center"/>
              <w:textAlignment w:val="auto"/>
              <w:outlineLvl w:val="9"/>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表3-1油气回收处理装置工艺流程图</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bCs/>
                <w:color w:val="auto"/>
                <w:sz w:val="24"/>
                <w:szCs w:val="24"/>
              </w:rPr>
            </w:pPr>
            <w:r>
              <w:rPr>
                <w:rFonts w:hint="eastAsia" w:ascii="宋体" w:hAnsi="宋体" w:eastAsia="宋体" w:cs="宋体"/>
                <w:bCs/>
                <w:color w:val="auto"/>
                <w:sz w:val="24"/>
                <w:szCs w:val="24"/>
                <w:lang w:val="en-US" w:eastAsia="zh-CN"/>
              </w:rPr>
              <w:t>(2)</w:t>
            </w:r>
            <w:r>
              <w:rPr>
                <w:rFonts w:hint="eastAsia" w:ascii="宋体" w:hAnsi="宋体" w:eastAsia="宋体" w:cs="宋体"/>
                <w:bCs/>
                <w:color w:val="auto"/>
                <w:sz w:val="24"/>
                <w:szCs w:val="24"/>
              </w:rPr>
              <w:t>储罐“大小呼吸”过程产生的油气、管道阀门泄漏损失产生的油气和清罐时通风排出的油气（无组织）</w:t>
            </w:r>
          </w:p>
          <w:p>
            <w:pPr>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outlineLvl w:val="9"/>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eastAsia="zh-CN"/>
              </w:rPr>
              <w:t>项目</w:t>
            </w:r>
            <w:r>
              <w:rPr>
                <w:rFonts w:hint="eastAsia" w:ascii="宋体" w:hAnsi="宋体" w:eastAsia="宋体" w:cs="宋体"/>
                <w:bCs/>
                <w:color w:val="auto"/>
                <w:sz w:val="24"/>
                <w:szCs w:val="24"/>
              </w:rPr>
              <w:t>保证油气回收装置正常、稳定、达标运行，定期检查。制订设备运行、维护规程，培训上岗，需有专人负责管理。汽油油罐采用内浮顶储罐，油罐设呼吸阀和安全阀，采用浮顶技术是油品储存中控制烃类污染的最主要的方法。项目油罐外层采用的是白色涂料或其他反光率高的涂料，最大程度地减少油罐吸收的辐射热能，减小罐体内部的温度变化，从而减少了油品小呼吸排放的烃类物质量。加强员工的操作水平，减少倒灌、装卸过程中成品油的跑、冒、滴、漏。油罐清洗前，制定好完善的清洗计划，尽可能回收罐内的残油。</w:t>
            </w:r>
            <w:r>
              <w:rPr>
                <w:rFonts w:hint="eastAsia" w:ascii="宋体" w:hAnsi="宋体" w:eastAsia="宋体" w:cs="宋体"/>
                <w:bCs/>
                <w:color w:val="auto"/>
                <w:sz w:val="24"/>
                <w:szCs w:val="24"/>
                <w:lang w:val="en-US" w:eastAsia="zh-CN"/>
              </w:rPr>
              <w:t>在油气回收装置出口及周围浓度最高点设置监测点，监控油气排放浓度，保证油气达标排放。</w:t>
            </w:r>
          </w:p>
          <w:p>
            <w:pPr>
              <w:pStyle w:val="2"/>
              <w:ind w:firstLine="480"/>
              <w:rPr>
                <w:rFonts w:hint="eastAsia"/>
                <w:lang w:val="en-US" w:eastAsia="zh-CN"/>
              </w:rPr>
            </w:pPr>
          </w:p>
          <w:p>
            <w:pPr>
              <w:pStyle w:val="20"/>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482" w:firstLineChars="200"/>
              <w:textAlignment w:val="auto"/>
              <w:outlineLvl w:val="9"/>
              <w:rPr>
                <w:rFonts w:ascii="宋体" w:hAnsi="宋体" w:eastAsia="宋体" w:cs="宋体"/>
                <w:b/>
                <w:sz w:val="24"/>
                <w:szCs w:val="24"/>
              </w:rPr>
            </w:pPr>
            <w:r>
              <w:rPr>
                <w:rFonts w:hint="eastAsia" w:ascii="宋体" w:hAnsi="宋体" w:eastAsia="宋体" w:cs="宋体"/>
                <w:b/>
                <w:sz w:val="24"/>
                <w:szCs w:val="24"/>
              </w:rPr>
              <w:t>2、水污染物</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主要为办公生活污水及库区含油污水（主要为初期雨水）。</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项目生活污水采用分类收集方式，盥洗等较清洁废水收集后用于库区抑尘，入厕废水经化粪池收集处理后，定期清掏送与周边农户作农肥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办公区及辅助设施区域产生的初期雨水经周边雨水管网收集后经雨水沟排至厂外</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项目厂区地面定期清洁，罐区、汽车装车区域产生的初期雨水，经油水分离池隔油沉淀处理后，</w:t>
            </w:r>
            <w:r>
              <w:rPr>
                <w:rFonts w:hint="eastAsia" w:ascii="宋体" w:hAnsi="宋体" w:eastAsia="宋体" w:cs="宋体"/>
                <w:color w:val="auto"/>
                <w:sz w:val="24"/>
                <w:szCs w:val="24"/>
                <w:lang w:eastAsia="zh-CN"/>
              </w:rPr>
              <w:t>达到</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污水综合</w:t>
            </w:r>
            <w:r>
              <w:rPr>
                <w:rFonts w:hint="eastAsia" w:ascii="宋体" w:hAnsi="宋体" w:eastAsia="宋体" w:cs="宋体"/>
                <w:color w:val="auto"/>
                <w:sz w:val="24"/>
                <w:szCs w:val="24"/>
              </w:rPr>
              <w:t>排放标准》（GB8978-1996）中一级排放标准，排至厂外自然环境</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项目油罐需定期由专业公司用汽油或柴油清洗，不用水清洗，不产生废水，清洗后的汽油或柴油由有危险废物处理资质的公司运走处置。</w:t>
            </w:r>
          </w:p>
          <w:p>
            <w:pPr>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outlineLvl w:val="9"/>
              <w:rPr>
                <w:rFonts w:ascii="宋体" w:hAnsi="宋体" w:eastAsia="宋体" w:cs="宋体"/>
                <w:b/>
                <w:sz w:val="24"/>
                <w:szCs w:val="24"/>
              </w:rPr>
            </w:pPr>
            <w:r>
              <w:rPr>
                <w:rFonts w:hint="eastAsia" w:ascii="宋体" w:hAnsi="宋体" w:eastAsia="宋体" w:cs="宋体"/>
                <w:b/>
                <w:sz w:val="24"/>
                <w:szCs w:val="24"/>
              </w:rPr>
              <w:t>3、噪声污染</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eastAsia="宋体"/>
                <w:sz w:val="24"/>
                <w:szCs w:val="24"/>
                <w:lang w:eastAsia="zh-CN"/>
              </w:rPr>
            </w:pPr>
            <w:r>
              <w:rPr>
                <w:rFonts w:hint="eastAsia" w:eastAsia="宋体"/>
                <w:sz w:val="24"/>
                <w:szCs w:val="24"/>
              </w:rPr>
              <w:t>噪声污染源为潜油泵以及卸车泵、潜液泵、增压器等工作时产生的机械噪声，装油车辆产生的交通噪声</w:t>
            </w:r>
            <w:r>
              <w:rPr>
                <w:rFonts w:hint="eastAsia" w:eastAsia="宋体"/>
                <w:sz w:val="24"/>
                <w:szCs w:val="24"/>
                <w:lang w:eastAsia="zh-CN"/>
              </w:rPr>
              <w:t>。</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项目周围建设2.5m高围墙</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加强设备的管理，确保生产设备正常运营；加强进出站车辆管理，场区内限速、禁止鸣笛，特别严禁夜间进出车辆鸣笛；在不影响正常生产和满足消防要求的前提下站场周围栽种树木进行绿化；合理布局，固定产噪设备距离厂界20m以上，并尽量远离项目北侧、东北侧沙子镇居民；合理布置项目</w:t>
            </w:r>
            <w:r>
              <w:rPr>
                <w:rFonts w:hint="eastAsia" w:ascii="宋体" w:hAnsi="宋体" w:eastAsia="宋体" w:cs="宋体"/>
                <w:color w:val="auto"/>
                <w:sz w:val="24"/>
                <w:szCs w:val="24"/>
                <w:lang w:eastAsia="zh-CN"/>
              </w:rPr>
              <w:t>设备</w:t>
            </w:r>
            <w:r>
              <w:rPr>
                <w:rFonts w:hint="eastAsia" w:ascii="宋体" w:hAnsi="宋体" w:eastAsia="宋体" w:cs="宋体"/>
                <w:color w:val="auto"/>
                <w:sz w:val="24"/>
                <w:szCs w:val="24"/>
              </w:rPr>
              <w:t>，高噪声设备设置在远离该敏感点一侧，同时</w:t>
            </w:r>
            <w:r>
              <w:rPr>
                <w:rFonts w:hint="eastAsia" w:ascii="宋体" w:hAnsi="宋体" w:eastAsia="宋体" w:cs="宋体"/>
                <w:bCs/>
                <w:color w:val="auto"/>
                <w:sz w:val="24"/>
                <w:szCs w:val="24"/>
              </w:rPr>
              <w:t>应加强该侧植被绿化，可进一步降低本项目营运期噪声对该侧的影响；</w:t>
            </w:r>
          </w:p>
          <w:p>
            <w:pPr>
              <w:spacing w:before="156" w:after="0"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4、固体废物</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项目运营期间产生的固体废物主要有储罐油泥、油水处理装置油污和生活垃圾。</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 xml:space="preserve">    储罐油泥交由专业储罐清洗单位回收处置，油水处理装置油污交由有资质的危险废物处置单位进行处理。</w:t>
            </w:r>
          </w:p>
          <w:p>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储罐油泥属于定期清洗或更换才产生的危险废物，废物产生后随即由专业储罐清洗单位运走回收处置，不在项目内部储存。对于污水处理系统油泥，在污水处理站旁设置临时危废暂存间，容积不小于5</w:t>
            </w:r>
            <w:r>
              <w:rPr>
                <w:rFonts w:hint="eastAsia" w:ascii="宋体" w:hAnsi="宋体" w:eastAsia="宋体" w:cs="宋体"/>
                <w:color w:val="auto"/>
                <w:sz w:val="24"/>
                <w:szCs w:val="24"/>
                <w:lang w:eastAsia="zh-CN"/>
              </w:rPr>
              <w:t>m³</w:t>
            </w:r>
            <w:r>
              <w:rPr>
                <w:rFonts w:hint="eastAsia" w:ascii="宋体" w:hAnsi="宋体" w:eastAsia="宋体" w:cs="宋体"/>
                <w:color w:val="auto"/>
                <w:sz w:val="24"/>
                <w:szCs w:val="24"/>
              </w:rPr>
              <w:t>，暂存间的设置需满足《危险废物贮存污染控制标准》（GB18597-2001）要求，暂存间地面与裙脚应进行防渗处理，做好防雨防渗防漏，设置警示标识。项目产生的生活垃圾，统一收集后，由环卫部门清运处置。</w:t>
            </w:r>
          </w:p>
          <w:p>
            <w:pPr>
              <w:spacing w:after="0" w:line="520" w:lineRule="exact"/>
            </w:pPr>
          </w:p>
        </w:tc>
      </w:tr>
    </w:tbl>
    <w:p>
      <w:pPr>
        <w:spacing w:after="0" w:line="360" w:lineRule="auto"/>
        <w:rPr>
          <w:rFonts w:ascii="宋体" w:hAnsi="宋体" w:eastAsia="宋体" w:cs="宋体"/>
          <w:b/>
          <w:color w:val="000000"/>
          <w:spacing w:val="-20"/>
          <w:sz w:val="28"/>
          <w:szCs w:val="28"/>
        </w:rPr>
      </w:pPr>
      <w:bookmarkStart w:id="15" w:name="_Toc2839_WPSOffice_Level1"/>
      <w:r>
        <w:rPr>
          <w:rFonts w:hint="eastAsia" w:ascii="宋体" w:hAnsi="宋体" w:eastAsia="宋体" w:cs="宋体"/>
          <w:b/>
          <w:color w:val="000000"/>
          <w:spacing w:val="-20"/>
          <w:sz w:val="28"/>
          <w:szCs w:val="28"/>
        </w:rPr>
        <w:t xml:space="preserve">表四 </w:t>
      </w:r>
      <w:r>
        <w:rPr>
          <w:rFonts w:hint="eastAsia" w:ascii="宋体" w:hAnsi="宋体" w:eastAsia="宋体" w:cs="宋体"/>
          <w:b/>
          <w:color w:val="000000"/>
          <w:spacing w:val="-20"/>
          <w:sz w:val="28"/>
          <w:szCs w:val="28"/>
          <w:lang w:val="en-US" w:eastAsia="zh-CN"/>
        </w:rPr>
        <w:t xml:space="preserve"> </w:t>
      </w:r>
      <w:r>
        <w:rPr>
          <w:rFonts w:hint="eastAsia" w:ascii="宋体" w:hAnsi="宋体" w:eastAsia="宋体" w:cs="宋体"/>
          <w:b/>
          <w:color w:val="000000"/>
          <w:spacing w:val="-20"/>
          <w:sz w:val="28"/>
          <w:szCs w:val="28"/>
        </w:rPr>
        <w:t>建设项目环境影响报告表主要结论及审批部门审批决定</w:t>
      </w:r>
      <w:bookmarkEnd w:id="15"/>
    </w:p>
    <w:tbl>
      <w:tblPr>
        <w:tblStyle w:val="18"/>
        <w:tblW w:w="89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920" w:hRule="atLeast"/>
          <w:jc w:val="center"/>
        </w:trPr>
        <w:tc>
          <w:tcPr>
            <w:tcW w:w="8956" w:type="dxa"/>
          </w:tcPr>
          <w:p>
            <w:pPr>
              <w:keepNext w:val="0"/>
              <w:keepLines w:val="0"/>
              <w:pageBreakBefore w:val="0"/>
              <w:widowControl/>
              <w:kinsoku/>
              <w:wordWrap/>
              <w:overflowPunct/>
              <w:topLinePunct w:val="0"/>
              <w:autoSpaceDE/>
              <w:autoSpaceDN/>
              <w:bidi w:val="0"/>
              <w:adjustRightInd w:val="0"/>
              <w:snapToGrid w:val="0"/>
              <w:spacing w:before="181" w:beforeLines="50" w:after="0" w:line="360" w:lineRule="auto"/>
              <w:textAlignment w:val="auto"/>
              <w:outlineLvl w:val="9"/>
              <w:rPr>
                <w:rFonts w:ascii="宋体" w:hAnsi="宋体" w:eastAsia="宋体" w:cs="宋体"/>
                <w:b/>
                <w:sz w:val="24"/>
                <w:szCs w:val="24"/>
              </w:rPr>
            </w:pPr>
            <w:r>
              <w:rPr>
                <w:rFonts w:hint="eastAsia" w:ascii="宋体" w:hAnsi="宋体" w:eastAsia="宋体" w:cs="宋体"/>
                <w:b/>
                <w:sz w:val="21"/>
                <w:szCs w:val="21"/>
              </w:rPr>
              <w:t>一</w:t>
            </w:r>
            <w:r>
              <w:rPr>
                <w:rFonts w:hint="eastAsia" w:ascii="宋体" w:hAnsi="宋体" w:eastAsia="宋体" w:cs="宋体"/>
                <w:b/>
                <w:sz w:val="24"/>
                <w:szCs w:val="24"/>
              </w:rPr>
              <w:t>、环评结论</w:t>
            </w:r>
          </w:p>
          <w:p>
            <w:pPr>
              <w:spacing w:after="0"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1、大气污染物</w:t>
            </w:r>
          </w:p>
          <w:p>
            <w:pPr>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油品装车平台汽油油气（有组织）</w:t>
            </w:r>
          </w:p>
          <w:p>
            <w:pPr>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项目</w:t>
            </w:r>
            <w:r>
              <w:rPr>
                <w:rFonts w:hint="eastAsia" w:ascii="宋体" w:hAnsi="宋体" w:eastAsia="宋体" w:cs="宋体"/>
                <w:color w:val="auto"/>
                <w:sz w:val="24"/>
                <w:szCs w:val="24"/>
              </w:rPr>
              <w:t>油品装车过程中</w:t>
            </w:r>
            <w:r>
              <w:rPr>
                <w:rFonts w:hint="eastAsia" w:ascii="宋体" w:hAnsi="宋体" w:eastAsia="宋体" w:cs="宋体"/>
                <w:color w:val="auto"/>
                <w:sz w:val="24"/>
                <w:szCs w:val="24"/>
                <w:lang w:eastAsia="zh-CN"/>
              </w:rPr>
              <w:t>产生的</w:t>
            </w:r>
            <w:r>
              <w:rPr>
                <w:rFonts w:hint="eastAsia" w:ascii="宋体" w:hAnsi="宋体" w:eastAsia="宋体" w:cs="宋体"/>
                <w:color w:val="auto"/>
                <w:sz w:val="24"/>
                <w:szCs w:val="24"/>
              </w:rPr>
              <w:t>油气经油气回收装置回收处理后，距地平面高度4m以上排放。油气排放浓度可满足《储油库大气污染物排放标准》（GB20952-2007）中表1排放标准</w:t>
            </w:r>
            <w:r>
              <w:rPr>
                <w:rFonts w:hint="eastAsia" w:ascii="宋体" w:hAnsi="宋体" w:eastAsia="宋体" w:cs="宋体"/>
                <w:color w:val="auto"/>
                <w:sz w:val="24"/>
                <w:szCs w:val="24"/>
                <w:lang w:val="en-US" w:eastAsia="zh-CN"/>
              </w:rPr>
              <w:t>(≤25</w:t>
            </w:r>
            <w:r>
              <w:rPr>
                <w:rFonts w:hint="eastAsia" w:ascii="宋体" w:hAnsi="宋体" w:eastAsia="宋体" w:cs="宋体"/>
                <w:color w:val="auto"/>
                <w:sz w:val="24"/>
                <w:szCs w:val="24"/>
              </w:rPr>
              <w:t>g/</w:t>
            </w:r>
            <w:r>
              <w:rPr>
                <w:rFonts w:hint="eastAsia" w:ascii="宋体" w:hAnsi="宋体" w:eastAsia="宋体" w:cs="宋体"/>
                <w:color w:val="auto"/>
                <w:sz w:val="24"/>
                <w:szCs w:val="24"/>
                <w:lang w:eastAsia="zh-CN"/>
              </w:rPr>
              <w:t>m³</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szCs w:val="24"/>
              </w:rPr>
              <w:t>的要求。</w:t>
            </w:r>
          </w:p>
          <w:p>
            <w:pPr>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outlineLvl w:val="9"/>
              <w:rPr>
                <w:rFonts w:hint="eastAsia" w:ascii="宋体" w:hAnsi="宋体" w:eastAsia="宋体" w:cs="宋体"/>
                <w:bCs/>
                <w:color w:val="auto"/>
                <w:sz w:val="24"/>
                <w:szCs w:val="24"/>
              </w:rPr>
            </w:pP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lang w:val="en-US" w:eastAsia="zh-CN"/>
              </w:rPr>
              <w:t>2</w:t>
            </w:r>
            <w:r>
              <w:rPr>
                <w:rFonts w:hint="eastAsia" w:ascii="宋体" w:hAnsi="宋体" w:eastAsia="宋体" w:cs="宋体"/>
                <w:bCs/>
                <w:color w:val="auto"/>
                <w:sz w:val="24"/>
                <w:szCs w:val="24"/>
                <w:lang w:eastAsia="zh-CN"/>
              </w:rPr>
              <w:t>）</w:t>
            </w:r>
            <w:r>
              <w:rPr>
                <w:rFonts w:hint="eastAsia" w:ascii="宋体" w:hAnsi="宋体" w:eastAsia="宋体" w:cs="宋体"/>
                <w:bCs/>
                <w:color w:val="auto"/>
                <w:sz w:val="24"/>
                <w:szCs w:val="24"/>
              </w:rPr>
              <w:t>储罐油气、管道阀门泄漏和清罐时通风排出的油气（无组织）</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outlineLvl w:val="9"/>
              <w:rPr>
                <w:rFonts w:hint="eastAsia" w:ascii="宋体" w:hAnsi="宋体" w:eastAsia="宋体" w:cs="宋体"/>
                <w:color w:val="auto"/>
                <w:sz w:val="24"/>
                <w:szCs w:val="24"/>
                <w:lang w:val="en-US" w:eastAsia="zh-CN"/>
              </w:rPr>
            </w:pPr>
            <w:r>
              <w:rPr>
                <w:rFonts w:hint="eastAsia" w:ascii="宋体" w:hAnsi="宋体" w:eastAsia="宋体" w:cs="宋体"/>
                <w:bCs/>
                <w:color w:val="auto"/>
                <w:sz w:val="24"/>
                <w:szCs w:val="24"/>
              </w:rPr>
              <w:t xml:space="preserve">     </w:t>
            </w:r>
            <w:r>
              <w:rPr>
                <w:rFonts w:hint="eastAsia" w:ascii="宋体" w:hAnsi="宋体" w:eastAsia="宋体" w:cs="宋体"/>
                <w:bCs/>
                <w:color w:val="auto"/>
                <w:sz w:val="24"/>
                <w:szCs w:val="24"/>
                <w:lang w:eastAsia="zh-CN"/>
              </w:rPr>
              <w:t>项目</w:t>
            </w:r>
            <w:r>
              <w:rPr>
                <w:rFonts w:hint="eastAsia" w:ascii="宋体" w:hAnsi="宋体" w:eastAsia="宋体" w:cs="宋体"/>
                <w:bCs/>
                <w:color w:val="auto"/>
                <w:sz w:val="24"/>
                <w:szCs w:val="24"/>
              </w:rPr>
              <w:t>保证油气回收装置正常、稳定、达标运行，定期检查。制订设备运行、维护规程，培训上岗，需有专人负责管理。汽油油罐采用内浮顶储罐，油罐设呼吸阀和安全阀，采用浮顶技术是油品储存中控制烃类污染的最主要的方法。项目油罐外层采用的是白色涂料或其他反光率高的涂料，最大程度地减少油罐吸收的辐射热能，减小罐体内部的温度变化，从而减少了油品小呼吸排放的烃类物质量。加强员工的操作水平，减少倒灌、装卸过程中成品油的跑、冒、滴、漏。油罐清洗前，制定好完善的清洗计划，尽可能回收罐内的残油。</w:t>
            </w:r>
            <w:r>
              <w:rPr>
                <w:rFonts w:hint="eastAsia" w:ascii="宋体" w:hAnsi="宋体" w:eastAsia="宋体" w:cs="宋体"/>
                <w:bCs/>
                <w:color w:val="auto"/>
                <w:sz w:val="24"/>
                <w:szCs w:val="24"/>
                <w:lang w:val="en-US" w:eastAsia="zh-CN"/>
              </w:rPr>
              <w:t>在油气回收装置出口及周围浓度最高点设置监测点，监控油气排放浓度，保证油气达标排放。</w:t>
            </w:r>
          </w:p>
          <w:p>
            <w:pPr>
              <w:spacing w:after="0" w:line="360" w:lineRule="auto"/>
              <w:ind w:firstLine="482" w:firstLineChars="200"/>
              <w:rPr>
                <w:rFonts w:ascii="宋体" w:hAnsi="宋体" w:eastAsia="宋体" w:cs="宋体"/>
                <w:b/>
                <w:sz w:val="24"/>
                <w:szCs w:val="24"/>
              </w:rPr>
            </w:pPr>
            <w:r>
              <w:rPr>
                <w:rFonts w:hint="eastAsia" w:ascii="宋体" w:hAnsi="宋体" w:eastAsia="宋体" w:cs="宋体"/>
                <w:b/>
                <w:sz w:val="24"/>
                <w:szCs w:val="24"/>
              </w:rPr>
              <w:t>2、水污染物</w:t>
            </w:r>
          </w:p>
          <w:p>
            <w:pPr>
              <w:keepNext w:val="0"/>
              <w:keepLines w:val="0"/>
              <w:pageBreakBefore w:val="0"/>
              <w:widowControl/>
              <w:kinsoku/>
              <w:wordWrap/>
              <w:overflowPunct/>
              <w:topLinePunct w:val="0"/>
              <w:autoSpaceDE w:val="0"/>
              <w:autoSpaceDN w:val="0"/>
              <w:bidi w:val="0"/>
              <w:adjustRightInd w:val="0"/>
              <w:snapToGrid w:val="0"/>
              <w:spacing w:after="0" w:line="360" w:lineRule="auto"/>
              <w:ind w:firstLine="482"/>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主要为办公生活污水及库区含油污水（主要为初期雨水）。</w:t>
            </w:r>
          </w:p>
          <w:p>
            <w:pPr>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rPr>
                <w:rFonts w:hint="eastAsia"/>
              </w:rPr>
            </w:pPr>
            <w:r>
              <w:rPr>
                <w:rFonts w:hint="eastAsia" w:ascii="宋体" w:hAnsi="宋体" w:eastAsia="宋体" w:cs="宋体"/>
                <w:color w:val="auto"/>
                <w:sz w:val="24"/>
                <w:szCs w:val="24"/>
                <w:lang w:eastAsia="zh-CN"/>
              </w:rPr>
              <w:t>项目</w:t>
            </w:r>
            <w:r>
              <w:rPr>
                <w:rFonts w:hint="eastAsia" w:ascii="宋体" w:hAnsi="宋体" w:eastAsia="宋体" w:cs="宋体"/>
                <w:color w:val="auto"/>
                <w:sz w:val="24"/>
                <w:szCs w:val="24"/>
              </w:rPr>
              <w:t>生活污水采用分类收集方式，盥洗等较清洁废水收集后用于库区抑尘，入厕废水经化粪池收集处理后，定期清掏送与周边农户作农肥。办公区及辅助设施区域产生的初期雨水经周边雨水管网收集后经雨水沟排至厂外。</w:t>
            </w:r>
            <w:r>
              <w:rPr>
                <w:rFonts w:hint="eastAsia" w:ascii="宋体" w:hAnsi="宋体" w:eastAsia="宋体" w:cs="宋体"/>
                <w:color w:val="auto"/>
                <w:sz w:val="24"/>
                <w:szCs w:val="24"/>
                <w:shd w:val="clear" w:color="auto" w:fill="auto"/>
                <w:lang w:val="en-US" w:eastAsia="zh-CN"/>
              </w:rPr>
              <w:t>项目厂区地面定期清洁，</w:t>
            </w:r>
            <w:r>
              <w:rPr>
                <w:rFonts w:hint="eastAsia" w:ascii="宋体" w:hAnsi="宋体" w:eastAsia="宋体" w:cs="宋体"/>
                <w:color w:val="auto"/>
                <w:sz w:val="24"/>
                <w:szCs w:val="24"/>
                <w:shd w:val="clear" w:color="auto" w:fill="auto"/>
              </w:rPr>
              <w:t>罐区、汽车装车区域产生的</w:t>
            </w:r>
            <w:r>
              <w:rPr>
                <w:rFonts w:hint="eastAsia" w:ascii="宋体" w:hAnsi="宋体" w:eastAsia="宋体" w:cs="宋体"/>
                <w:color w:val="auto"/>
                <w:sz w:val="24"/>
                <w:szCs w:val="24"/>
                <w:shd w:val="clear" w:color="auto" w:fill="auto"/>
                <w:lang w:val="en-US" w:eastAsia="zh-CN"/>
              </w:rPr>
              <w:t>初期雨水，经油水分离池隔油沉淀处理后，满足</w:t>
            </w:r>
            <w:r>
              <w:rPr>
                <w:rFonts w:hint="eastAsia" w:ascii="宋体" w:hAnsi="宋体" w:eastAsia="宋体" w:cs="宋体"/>
                <w:color w:val="auto"/>
                <w:sz w:val="24"/>
                <w:szCs w:val="24"/>
                <w:shd w:val="clear" w:color="auto" w:fill="auto"/>
              </w:rPr>
              <w:t>《</w:t>
            </w:r>
            <w:r>
              <w:rPr>
                <w:rFonts w:hint="eastAsia" w:ascii="宋体" w:hAnsi="宋体" w:eastAsia="宋体" w:cs="宋体"/>
                <w:color w:val="auto"/>
                <w:sz w:val="24"/>
                <w:szCs w:val="24"/>
                <w:shd w:val="clear" w:color="auto" w:fill="auto"/>
                <w:lang w:eastAsia="zh-CN"/>
              </w:rPr>
              <w:t>污水综合</w:t>
            </w:r>
            <w:r>
              <w:rPr>
                <w:rFonts w:hint="eastAsia" w:ascii="宋体" w:hAnsi="宋体" w:eastAsia="宋体" w:cs="宋体"/>
                <w:color w:val="auto"/>
                <w:sz w:val="24"/>
                <w:szCs w:val="24"/>
                <w:shd w:val="clear" w:color="auto" w:fill="auto"/>
              </w:rPr>
              <w:t>排放标准》（GB8978-1996）中一级排放标准</w:t>
            </w:r>
            <w:r>
              <w:rPr>
                <w:rFonts w:hint="eastAsia" w:ascii="宋体" w:hAnsi="宋体" w:eastAsia="宋体" w:cs="宋体"/>
                <w:color w:val="auto"/>
                <w:sz w:val="24"/>
                <w:szCs w:val="24"/>
                <w:shd w:val="clear" w:color="auto" w:fill="auto"/>
                <w:lang w:eastAsia="zh-CN"/>
              </w:rPr>
              <w:t>，</w:t>
            </w:r>
            <w:r>
              <w:rPr>
                <w:rFonts w:hint="eastAsia" w:ascii="宋体" w:hAnsi="宋体" w:eastAsia="宋体" w:cs="宋体"/>
                <w:color w:val="auto"/>
                <w:sz w:val="24"/>
                <w:szCs w:val="24"/>
                <w:shd w:val="clear" w:color="auto" w:fill="auto"/>
              </w:rPr>
              <w:t>排至厂外自然环境，</w:t>
            </w:r>
            <w:r>
              <w:rPr>
                <w:rFonts w:hint="eastAsia" w:ascii="宋体" w:hAnsi="宋体" w:eastAsia="宋体" w:cs="宋体"/>
                <w:color w:val="auto"/>
                <w:sz w:val="24"/>
                <w:szCs w:val="24"/>
              </w:rPr>
              <w:t>项目油罐需定期由专业公司用汽油或柴油清洗，不用水清洗，不产生废水，清洗后的汽油或柴油由有危险废物处理资质的</w:t>
            </w:r>
            <w:r>
              <w:rPr>
                <w:rFonts w:hint="eastAsia" w:ascii="宋体" w:hAnsi="宋体" w:eastAsia="宋体" w:cs="宋体"/>
                <w:bCs/>
                <w:color w:val="auto"/>
                <w:sz w:val="24"/>
                <w:szCs w:val="24"/>
              </w:rPr>
              <w:t>公司</w:t>
            </w:r>
            <w:r>
              <w:rPr>
                <w:rFonts w:hint="eastAsia" w:ascii="宋体" w:hAnsi="宋体" w:eastAsia="宋体" w:cs="宋体"/>
                <w:color w:val="auto"/>
                <w:sz w:val="24"/>
                <w:szCs w:val="24"/>
              </w:rPr>
              <w:t>运走处置。</w:t>
            </w:r>
          </w:p>
          <w:p>
            <w:pPr>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482" w:firstLineChars="200"/>
              <w:textAlignment w:val="auto"/>
              <w:outlineLvl w:val="9"/>
              <w:rPr>
                <w:rFonts w:ascii="宋体" w:hAnsi="宋体" w:eastAsia="宋体" w:cs="宋体"/>
                <w:b/>
                <w:sz w:val="24"/>
                <w:szCs w:val="24"/>
              </w:rPr>
            </w:pPr>
            <w:r>
              <w:rPr>
                <w:rFonts w:hint="eastAsia" w:ascii="宋体" w:hAnsi="宋体" w:eastAsia="宋体" w:cs="宋体"/>
                <w:b/>
                <w:sz w:val="24"/>
                <w:szCs w:val="24"/>
              </w:rPr>
              <w:t>3、噪声污染</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eastAsia="宋体"/>
                <w:sz w:val="24"/>
                <w:szCs w:val="24"/>
                <w:lang w:eastAsia="zh-CN"/>
              </w:rPr>
            </w:pPr>
            <w:r>
              <w:rPr>
                <w:rFonts w:hint="eastAsia" w:eastAsia="宋体"/>
                <w:sz w:val="24"/>
                <w:szCs w:val="24"/>
              </w:rPr>
              <w:t>噪声污染源为潜油泵以及卸车泵、潜液泵、增压器等工作时产生的机械噪声，装油车辆产生的交通噪声</w:t>
            </w:r>
            <w:r>
              <w:rPr>
                <w:rFonts w:hint="eastAsia" w:eastAsia="宋体"/>
                <w:sz w:val="24"/>
                <w:szCs w:val="24"/>
                <w:lang w:eastAsia="zh-CN"/>
              </w:rPr>
              <w:t>。</w:t>
            </w: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eastAsia"/>
                <w:sz w:val="24"/>
                <w:szCs w:val="24"/>
                <w:lang w:eastAsia="zh-CN"/>
              </w:rPr>
            </w:pPr>
            <w:r>
              <w:rPr>
                <w:rFonts w:hint="eastAsia" w:ascii="宋体" w:hAnsi="宋体" w:eastAsia="宋体" w:cs="宋体"/>
                <w:color w:val="auto"/>
                <w:sz w:val="24"/>
                <w:szCs w:val="24"/>
              </w:rPr>
              <w:t>项目周围建设2.5m高围墙</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加强设备的管理，确保生产设备正常运营；加强进出站车辆管理，场区内限速、禁止鸣笛，特别严禁夜间进出车辆鸣笛；在不影响正常生产和满足消防要求的前提下站场周围栽种树木进行绿化；合理布局，固定产噪设备距离厂界20m以上，并尽量远离项目北侧、东北侧沙子镇居民；合理布置项目</w:t>
            </w:r>
            <w:r>
              <w:rPr>
                <w:rFonts w:hint="eastAsia" w:ascii="宋体" w:hAnsi="宋体" w:eastAsia="宋体" w:cs="宋体"/>
                <w:color w:val="auto"/>
                <w:sz w:val="24"/>
                <w:szCs w:val="24"/>
                <w:lang w:eastAsia="zh-CN"/>
              </w:rPr>
              <w:t>设备</w:t>
            </w:r>
            <w:r>
              <w:rPr>
                <w:rFonts w:hint="eastAsia" w:ascii="宋体" w:hAnsi="宋体" w:eastAsia="宋体" w:cs="宋体"/>
                <w:color w:val="auto"/>
                <w:sz w:val="24"/>
                <w:szCs w:val="24"/>
              </w:rPr>
              <w:t>，高噪声设备设置在远离该敏感点一侧，同时</w:t>
            </w:r>
            <w:r>
              <w:rPr>
                <w:rFonts w:hint="eastAsia" w:ascii="宋体" w:hAnsi="宋体" w:eastAsia="宋体" w:cs="宋体"/>
                <w:bCs/>
                <w:color w:val="auto"/>
                <w:sz w:val="24"/>
                <w:szCs w:val="24"/>
              </w:rPr>
              <w:t>应加强该侧植被绿化，降低本项目营运期噪声对该侧的影响；</w:t>
            </w:r>
          </w:p>
          <w:p>
            <w:pPr>
              <w:spacing w:before="156" w:after="0"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4、固体废物</w:t>
            </w:r>
          </w:p>
          <w:p>
            <w:pPr>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项目运营期间产生的固体废物主要有储罐油泥、油水处理装置油污和生活垃圾。</w:t>
            </w:r>
          </w:p>
          <w:p>
            <w:pPr>
              <w:keepNext w:val="0"/>
              <w:keepLines w:val="0"/>
              <w:pageBreakBefore w:val="0"/>
              <w:widowControl/>
              <w:kinsoku/>
              <w:wordWrap/>
              <w:overflowPunct/>
              <w:topLinePunct w:val="0"/>
              <w:autoSpaceDE/>
              <w:autoSpaceDN/>
              <w:bidi w:val="0"/>
              <w:adjustRightInd w:val="0"/>
              <w:snapToGrid w:val="0"/>
              <w:spacing w:after="0"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储罐油泥交由专业储罐清洗单位回收处置，油水处理装置油污交由有资质的危险废物处置单位进行处理。项目产生的生活垃圾，统一收集后，由环卫部门清运处置。</w:t>
            </w:r>
          </w:p>
          <w:p>
            <w:pPr>
              <w:keepNext w:val="0"/>
              <w:keepLines w:val="0"/>
              <w:pageBreakBefore w:val="0"/>
              <w:widowControl/>
              <w:kinsoku/>
              <w:wordWrap/>
              <w:overflowPunct/>
              <w:topLinePunct w:val="0"/>
              <w:autoSpaceDE/>
              <w:autoSpaceDN/>
              <w:bidi w:val="0"/>
              <w:adjustRightInd w:val="0"/>
              <w:snapToGrid w:val="0"/>
              <w:spacing w:after="0" w:line="5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二、</w:t>
            </w:r>
            <w:r>
              <w:rPr>
                <w:rFonts w:hint="eastAsia" w:ascii="宋体" w:hAnsi="宋体" w:eastAsia="宋体" w:cs="宋体"/>
                <w:b/>
                <w:bCs/>
                <w:sz w:val="24"/>
                <w:szCs w:val="24"/>
              </w:rPr>
              <w:t>环评批复要求</w:t>
            </w:r>
          </w:p>
          <w:p>
            <w:pPr>
              <w:pStyle w:val="46"/>
              <w:keepNext w:val="0"/>
              <w:keepLines w:val="0"/>
              <w:pageBreakBefore w:val="0"/>
              <w:widowControl/>
              <w:numPr>
                <w:ilvl w:val="0"/>
                <w:numId w:val="0"/>
              </w:numPr>
              <w:kinsoku/>
              <w:wordWrap/>
              <w:overflowPunct/>
              <w:topLinePunct w:val="0"/>
              <w:autoSpaceDE/>
              <w:autoSpaceDN/>
              <w:bidi w:val="0"/>
              <w:adjustRightInd w:val="0"/>
              <w:snapToGrid w:val="0"/>
              <w:spacing w:after="0" w:line="520" w:lineRule="exact"/>
              <w:ind w:firstLine="480" w:firstLineChars="200"/>
              <w:textAlignment w:val="auto"/>
              <w:rPr>
                <w:rFonts w:hint="eastAsia" w:ascii="宋体" w:hAnsi="宋体" w:eastAsia="宋体" w:cs="宋体"/>
                <w:b/>
                <w:bCs/>
                <w:sz w:val="24"/>
                <w:szCs w:val="24"/>
              </w:rPr>
            </w:pPr>
            <w:r>
              <w:rPr>
                <w:rFonts w:hint="eastAsia" w:ascii="宋体" w:hAnsi="宋体" w:eastAsia="宋体" w:cs="宋体"/>
                <w:b w:val="0"/>
                <w:bCs w:val="0"/>
                <w:sz w:val="24"/>
                <w:szCs w:val="24"/>
              </w:rPr>
              <w:t>晴隆县环境保护局晴环核[2018]3号（关于《中国石化销售有限公司贵州黔西南石油分公司晴隆油库建设项目环境影响报告表》的批复（见附件2）。</w:t>
            </w:r>
          </w:p>
          <w:p>
            <w:pPr>
              <w:pStyle w:val="46"/>
              <w:spacing w:after="0"/>
              <w:ind w:firstLine="420"/>
              <w:rPr>
                <w:rFonts w:ascii="宋体" w:hAnsi="宋体" w:eastAsia="宋体" w:cs="宋体"/>
                <w:sz w:val="24"/>
                <w:szCs w:val="24"/>
              </w:rPr>
            </w:pPr>
            <w:r>
              <w:rPr>
                <w:rFonts w:hint="eastAsia" w:ascii="宋体" w:hAnsi="宋体" w:eastAsia="宋体" w:cs="宋体"/>
                <w:sz w:val="24"/>
                <w:szCs w:val="24"/>
              </w:rPr>
              <w:t>环评批复摘抄：</w:t>
            </w:r>
          </w:p>
          <w:p>
            <w:pPr>
              <w:pStyle w:val="46"/>
              <w:numPr>
                <w:ilvl w:val="0"/>
                <w:numId w:val="3"/>
              </w:numPr>
              <w:spacing w:after="0"/>
              <w:ind w:firstLine="420"/>
              <w:rPr>
                <w:rFonts w:ascii="宋体" w:hAnsi="宋体" w:eastAsia="宋体" w:cs="宋体"/>
                <w:sz w:val="24"/>
                <w:szCs w:val="24"/>
              </w:rPr>
            </w:pPr>
            <w:r>
              <w:rPr>
                <w:rFonts w:ascii="宋体" w:hAnsi="宋体" w:eastAsia="宋体" w:cs="宋体"/>
                <w:sz w:val="24"/>
                <w:szCs w:val="24"/>
              </w:rPr>
              <w:t>在建设项目和运行中应注意以下事项：</w:t>
            </w:r>
          </w:p>
          <w:p>
            <w:pPr>
              <w:pStyle w:val="46"/>
              <w:numPr>
                <w:ilvl w:val="0"/>
                <w:numId w:val="0"/>
              </w:numPr>
              <w:spacing w:after="0"/>
              <w:ind w:firstLine="480" w:firstLineChars="200"/>
              <w:rPr>
                <w:rFonts w:ascii="宋体" w:hAnsi="宋体" w:eastAsia="宋体" w:cs="宋体"/>
                <w:sz w:val="24"/>
                <w:szCs w:val="24"/>
              </w:rPr>
            </w:pPr>
            <w:r>
              <w:rPr>
                <w:rFonts w:ascii="宋体" w:hAnsi="宋体" w:eastAsia="宋体" w:cs="宋体"/>
                <w:sz w:val="24"/>
                <w:szCs w:val="24"/>
              </w:rPr>
              <w:t>1、认真落实环保“三同时”制度，环保设施建设必须纳入施工合同，保证环保设施建设进度和资金。</w:t>
            </w:r>
          </w:p>
          <w:p>
            <w:pPr>
              <w:pStyle w:val="46"/>
              <w:numPr>
                <w:ilvl w:val="0"/>
                <w:numId w:val="0"/>
              </w:numPr>
              <w:spacing w:after="0"/>
              <w:rPr>
                <w:rFonts w:ascii="宋体" w:hAnsi="宋体" w:eastAsia="宋体" w:cs="宋体"/>
                <w:sz w:val="24"/>
                <w:szCs w:val="24"/>
              </w:rPr>
            </w:pPr>
            <w:r>
              <w:rPr>
                <w:rFonts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ascii="宋体" w:hAnsi="宋体" w:eastAsia="宋体" w:cs="宋体"/>
                <w:sz w:val="24"/>
                <w:szCs w:val="24"/>
              </w:rPr>
              <w:t>2</w:t>
            </w:r>
            <w:r>
              <w:rPr>
                <w:rFonts w:hint="eastAsia" w:ascii="宋体" w:hAnsi="宋体" w:eastAsia="宋体" w:cs="宋体"/>
                <w:sz w:val="24"/>
                <w:szCs w:val="24"/>
                <w:lang w:eastAsia="zh-CN"/>
              </w:rPr>
              <w:t>、</w:t>
            </w:r>
            <w:r>
              <w:rPr>
                <w:rFonts w:ascii="宋体" w:hAnsi="宋体" w:eastAsia="宋体" w:cs="宋体"/>
                <w:sz w:val="24"/>
                <w:szCs w:val="24"/>
              </w:rPr>
              <w:t>《报告表》经批准后，建设项目的性质、规模、地点、采用的生产工艺或者防治污染、防止生态破坏的措施发生重大变动的，你单位应当重新向我局报批《报告表》。本核准意见自下达之日起5年方决定开工建设，须报我局重新审核《报告表》。</w:t>
            </w:r>
          </w:p>
          <w:p>
            <w:pPr>
              <w:pStyle w:val="46"/>
              <w:numPr>
                <w:ilvl w:val="0"/>
                <w:numId w:val="0"/>
              </w:numPr>
              <w:spacing w:after="0"/>
              <w:ind w:firstLine="480" w:firstLineChars="200"/>
              <w:rPr>
                <w:rFonts w:ascii="宋体" w:hAnsi="宋体" w:eastAsia="宋体" w:cs="宋体"/>
                <w:sz w:val="24"/>
                <w:szCs w:val="24"/>
              </w:rPr>
            </w:pPr>
            <w:r>
              <w:rPr>
                <w:rFonts w:ascii="宋体" w:hAnsi="宋体" w:eastAsia="宋体" w:cs="宋体"/>
                <w:sz w:val="24"/>
                <w:szCs w:val="24"/>
              </w:rPr>
              <w:t>3、建设项目竣工后，你单位应自行组织环境保护竣工验收，验收结果向社会公开，并在环保网站上备案。</w:t>
            </w:r>
          </w:p>
          <w:p>
            <w:pPr>
              <w:pStyle w:val="46"/>
              <w:numPr>
                <w:ilvl w:val="0"/>
                <w:numId w:val="0"/>
              </w:numPr>
              <w:spacing w:after="0"/>
              <w:ind w:firstLine="480" w:firstLineChars="200"/>
              <w:rPr>
                <w:rFonts w:ascii="宋体" w:hAnsi="宋体" w:eastAsia="宋体" w:cs="宋体"/>
                <w:b w:val="0"/>
                <w:bCs w:val="0"/>
                <w:sz w:val="24"/>
                <w:szCs w:val="24"/>
              </w:rPr>
            </w:pPr>
            <w:r>
              <w:rPr>
                <w:rFonts w:ascii="宋体" w:hAnsi="宋体" w:eastAsia="宋体" w:cs="宋体"/>
                <w:b w:val="0"/>
                <w:bCs w:val="0"/>
                <w:sz w:val="24"/>
                <w:szCs w:val="24"/>
              </w:rPr>
              <w:t>二、主动接受监督</w:t>
            </w:r>
          </w:p>
          <w:p>
            <w:pPr>
              <w:pStyle w:val="46"/>
              <w:numPr>
                <w:ilvl w:val="0"/>
                <w:numId w:val="0"/>
              </w:numPr>
              <w:spacing w:after="0"/>
              <w:ind w:firstLine="480" w:firstLineChars="200"/>
              <w:rPr>
                <w:rFonts w:ascii="宋体" w:hAnsi="宋体" w:eastAsia="宋体" w:cs="宋体"/>
                <w:color w:val="000000"/>
                <w:sz w:val="21"/>
                <w:szCs w:val="21"/>
              </w:rPr>
            </w:pPr>
            <w:r>
              <w:rPr>
                <w:rFonts w:ascii="宋体" w:hAnsi="宋体" w:eastAsia="宋体" w:cs="宋体"/>
                <w:sz w:val="24"/>
                <w:szCs w:val="24"/>
              </w:rPr>
              <w:t>你单位应主动接受各级环保部门的监督检查。该项目的日常环境监督管理工作由晴隆县环境监察大队负责。</w:t>
            </w:r>
          </w:p>
        </w:tc>
      </w:tr>
    </w:tbl>
    <w:p>
      <w:pPr>
        <w:spacing w:line="360" w:lineRule="auto"/>
        <w:rPr>
          <w:rFonts w:eastAsia="仿宋_GB2312"/>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28"/>
          <w:szCs w:val="28"/>
        </w:rPr>
      </w:pPr>
      <w:bookmarkStart w:id="16" w:name="_Toc29457_WPSOffice_Level1"/>
      <w:r>
        <w:rPr>
          <w:rFonts w:hint="eastAsia" w:ascii="宋体" w:hAnsi="宋体" w:eastAsia="宋体" w:cs="宋体"/>
          <w:b/>
          <w:color w:val="000000"/>
          <w:sz w:val="28"/>
          <w:szCs w:val="28"/>
        </w:rPr>
        <w:t>表五  验收监测质量保证及质量控制</w:t>
      </w:r>
      <w:bookmarkEnd w:id="16"/>
    </w:p>
    <w:tbl>
      <w:tblPr>
        <w:tblStyle w:val="18"/>
        <w:tblW w:w="9414" w:type="dxa"/>
        <w:jc w:val="center"/>
        <w:tblInd w:w="1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022" w:hRule="atLeast"/>
          <w:jc w:val="center"/>
        </w:trPr>
        <w:tc>
          <w:tcPr>
            <w:tcW w:w="9414" w:type="dxa"/>
          </w:tcPr>
          <w:p>
            <w:pPr>
              <w:spacing w:before="10" w:after="0" w:line="540" w:lineRule="exact"/>
              <w:rPr>
                <w:rFonts w:ascii="宋体" w:hAnsi="宋体" w:eastAsia="宋体" w:cs="宋体"/>
                <w:color w:val="000000"/>
                <w:sz w:val="24"/>
                <w:szCs w:val="24"/>
              </w:rPr>
            </w:pPr>
            <w:r>
              <w:rPr>
                <w:rFonts w:hint="eastAsia" w:ascii="宋体" w:hAnsi="宋体" w:eastAsia="宋体" w:cs="宋体"/>
                <w:color w:val="000000"/>
                <w:sz w:val="24"/>
                <w:szCs w:val="24"/>
              </w:rPr>
              <w:t>验收监测质量保证及质量控制：</w:t>
            </w:r>
          </w:p>
          <w:p>
            <w:pPr>
              <w:keepNext w:val="0"/>
              <w:keepLines w:val="0"/>
              <w:pageBreakBefore w:val="0"/>
              <w:widowControl w:val="0"/>
              <w:kinsoku/>
              <w:wordWrap/>
              <w:overflowPunct/>
              <w:topLinePunct w:val="0"/>
              <w:autoSpaceDE/>
              <w:autoSpaceDN/>
              <w:bidi w:val="0"/>
              <w:adjustRightInd w:val="0"/>
              <w:snapToGrid w:val="0"/>
              <w:spacing w:before="240" w:beforeLines="100" w:after="0" w:line="360" w:lineRule="auto"/>
              <w:ind w:firstLine="482" w:firstLineChars="200"/>
              <w:jc w:val="left"/>
              <w:textAlignment w:val="auto"/>
              <w:rPr>
                <w:rFonts w:hint="eastAsia" w:ascii="宋体" w:hAnsi="宋体" w:eastAsia="宋体" w:cs="宋体"/>
                <w:b/>
                <w:bCs/>
                <w:sz w:val="24"/>
                <w:szCs w:val="24"/>
              </w:rPr>
            </w:pPr>
            <w:r>
              <w:rPr>
                <w:rFonts w:hint="eastAsia" w:ascii="宋体" w:hAnsi="宋体" w:eastAsia="宋体" w:cs="宋体"/>
                <w:b/>
                <w:bCs/>
                <w:sz w:val="24"/>
                <w:szCs w:val="24"/>
              </w:rPr>
              <w:t>1、水质监测分析过程中的质量保证和质量控制</w:t>
            </w:r>
          </w:p>
          <w:p>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水样的采集运输、保存、实验室分析和数据计算的全过程均按《环境水质监测质量保证手册》（第四版增补版）等的要求进行。采样过程中采取全程序空白、密码平行样；实验室分析采取空白试验，平行双样测定，加标回收率测定，（对pH</w:t>
            </w:r>
            <w:r>
              <w:rPr>
                <w:rFonts w:hint="eastAsia" w:ascii="宋体" w:hAnsi="宋体" w:eastAsia="宋体" w:cs="宋体"/>
                <w:sz w:val="24"/>
                <w:szCs w:val="24"/>
                <w:lang w:eastAsia="zh-CN"/>
              </w:rPr>
              <w:t>、</w:t>
            </w:r>
            <w:r>
              <w:rPr>
                <w:rFonts w:hint="eastAsia" w:ascii="宋体" w:hAnsi="宋体" w:eastAsia="宋体" w:cs="宋体"/>
                <w:sz w:val="24"/>
                <w:szCs w:val="24"/>
              </w:rPr>
              <w:t>化学需氧量</w:t>
            </w:r>
          </w:p>
          <w:p>
            <w:pPr>
              <w:keepNext w:val="0"/>
              <w:keepLines w:val="0"/>
              <w:pageBreakBefore w:val="0"/>
              <w:widowControl w:val="0"/>
              <w:kinsoku/>
              <w:wordWrap/>
              <w:overflowPunct/>
              <w:topLinePunct w:val="0"/>
              <w:autoSpaceDE/>
              <w:autoSpaceDN/>
              <w:bidi w:val="0"/>
              <w:adjustRightInd w:val="0"/>
              <w:snapToGrid w:val="0"/>
              <w:spacing w:after="0"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lang w:eastAsia="zh-CN"/>
              </w:rPr>
              <w:t>、石油类、</w:t>
            </w:r>
            <w:r>
              <w:rPr>
                <w:rFonts w:hint="eastAsia" w:ascii="宋体" w:hAnsi="宋体" w:eastAsia="宋体" w:cs="宋体"/>
                <w:sz w:val="24"/>
                <w:szCs w:val="24"/>
              </w:rPr>
              <w:t>氨氮）进行质量控制，控制结果见表5，质控结果均在允许误差范围内，监测数据受控。</w:t>
            </w:r>
          </w:p>
          <w:p>
            <w:pPr>
              <w:keepNext w:val="0"/>
              <w:keepLines w:val="0"/>
              <w:pageBreakBefore w:val="0"/>
              <w:widowControl w:val="0"/>
              <w:kinsoku/>
              <w:wordWrap/>
              <w:overflowPunct/>
              <w:topLinePunct w:val="0"/>
              <w:autoSpaceDE/>
              <w:autoSpaceDN/>
              <w:bidi w:val="0"/>
              <w:adjustRightInd w:val="0"/>
              <w:snapToGrid w:val="0"/>
              <w:spacing w:before="181" w:beforeLines="50" w:after="0" w:line="360" w:lineRule="auto"/>
              <w:ind w:firstLine="482" w:firstLineChars="200"/>
              <w:jc w:val="left"/>
              <w:textAlignment w:val="auto"/>
              <w:rPr>
                <w:rFonts w:hint="eastAsia" w:ascii="宋体" w:hAnsi="宋体" w:eastAsia="宋体" w:cs="宋体"/>
                <w:b/>
                <w:bCs/>
                <w:sz w:val="24"/>
                <w:szCs w:val="24"/>
              </w:rPr>
            </w:pPr>
            <w:r>
              <w:rPr>
                <w:rFonts w:hint="eastAsia" w:ascii="宋体" w:hAnsi="宋体" w:eastAsia="宋体" w:cs="宋体"/>
                <w:b/>
                <w:bCs/>
                <w:sz w:val="24"/>
                <w:szCs w:val="24"/>
              </w:rPr>
              <w:t>2、气体监测分析过程中的质量保证和质量控制</w:t>
            </w:r>
          </w:p>
          <w:p>
            <w:pPr>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所用监测仪器，量具经计量部门检定合格并在有效期内，被监测、排放物的浓度在仪器量程的有效范围内。</w:t>
            </w:r>
          </w:p>
          <w:p>
            <w:pPr>
              <w:keepNext w:val="0"/>
              <w:keepLines w:val="0"/>
              <w:pageBreakBefore w:val="0"/>
              <w:widowControl w:val="0"/>
              <w:kinsoku/>
              <w:wordWrap/>
              <w:overflowPunct/>
              <w:topLinePunct w:val="0"/>
              <w:autoSpaceDE/>
              <w:autoSpaceDN/>
              <w:bidi w:val="0"/>
              <w:adjustRightInd w:val="0"/>
              <w:snapToGrid w:val="0"/>
              <w:spacing w:before="181" w:beforeLines="50" w:after="0" w:line="360" w:lineRule="auto"/>
              <w:ind w:firstLine="482" w:firstLineChars="200"/>
              <w:jc w:val="left"/>
              <w:textAlignment w:val="auto"/>
              <w:rPr>
                <w:rFonts w:hint="eastAsia" w:ascii="宋体" w:hAnsi="宋体" w:eastAsia="宋体" w:cs="宋体"/>
                <w:b/>
                <w:bCs/>
                <w:sz w:val="24"/>
                <w:szCs w:val="24"/>
              </w:rPr>
            </w:pPr>
            <w:r>
              <w:rPr>
                <w:rFonts w:hint="eastAsia" w:ascii="宋体" w:hAnsi="宋体" w:eastAsia="宋体" w:cs="宋体"/>
                <w:b/>
                <w:bCs/>
                <w:sz w:val="24"/>
                <w:szCs w:val="24"/>
              </w:rPr>
              <w:t>3、噪声测量分析过程中的质量保证和质量控制</w:t>
            </w:r>
          </w:p>
          <w:p>
            <w:pPr>
              <w:keepNext w:val="0"/>
              <w:keepLines w:val="0"/>
              <w:pageBreakBefore w:val="0"/>
              <w:widowControl w:val="0"/>
              <w:kinsoku/>
              <w:wordWrap/>
              <w:overflowPunct/>
              <w:topLinePunct w:val="0"/>
              <w:autoSpaceDE/>
              <w:autoSpaceDN/>
              <w:bidi w:val="0"/>
              <w:adjustRightInd w:val="0"/>
              <w:snapToGrid w:val="0"/>
              <w:spacing w:before="181" w:beforeLines="50" w:after="0"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声级计在测量前后用标准发声器进行校准，误差小于0.5dB（A）。</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181" w:beforeLines="50" w:after="0" w:line="360" w:lineRule="auto"/>
              <w:ind w:leftChars="200"/>
              <w:jc w:val="left"/>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4、</w:t>
            </w:r>
            <w:r>
              <w:rPr>
                <w:rFonts w:hint="eastAsia" w:ascii="宋体" w:hAnsi="宋体" w:eastAsia="宋体" w:cs="宋体"/>
                <w:b/>
                <w:bCs/>
                <w:sz w:val="24"/>
                <w:szCs w:val="24"/>
              </w:rPr>
              <w:t>监测人员持证上岗，监测数据严格执行三级审核制度</w:t>
            </w:r>
          </w:p>
          <w:p>
            <w:pPr>
              <w:keepNext w:val="0"/>
              <w:keepLines w:val="0"/>
              <w:pageBreakBefore w:val="0"/>
              <w:widowControl w:val="0"/>
              <w:kinsoku/>
              <w:wordWrap/>
              <w:overflowPunct/>
              <w:topLinePunct w:val="0"/>
              <w:autoSpaceDE/>
              <w:autoSpaceDN/>
              <w:bidi w:val="0"/>
              <w:adjustRightInd w:val="0"/>
              <w:snapToGrid w:val="0"/>
              <w:spacing w:before="313" w:beforeLines="100"/>
              <w:jc w:val="center"/>
              <w:textAlignment w:val="auto"/>
              <w:outlineLvl w:val="9"/>
              <w:rPr>
                <w:rFonts w:hint="eastAsia" w:ascii="宋体" w:hAnsi="宋体" w:eastAsia="宋体" w:cs="宋体"/>
                <w:b/>
                <w:bCs/>
                <w:snapToGrid w:val="0"/>
                <w:color w:val="000000"/>
                <w:kern w:val="0"/>
                <w:sz w:val="24"/>
                <w:szCs w:val="24"/>
              </w:rPr>
            </w:pPr>
            <w:r>
              <w:rPr>
                <w:rFonts w:hint="eastAsia" w:ascii="宋体" w:hAnsi="宋体" w:eastAsia="宋体" w:cs="宋体"/>
                <w:b/>
                <w:bCs/>
                <w:snapToGrid w:val="0"/>
                <w:color w:val="000000"/>
                <w:kern w:val="0"/>
                <w:sz w:val="24"/>
                <w:szCs w:val="24"/>
              </w:rPr>
              <w:t>表</w:t>
            </w:r>
            <w:r>
              <w:rPr>
                <w:rFonts w:hint="eastAsia" w:ascii="宋体" w:hAnsi="宋体" w:eastAsia="宋体" w:cs="宋体"/>
                <w:b/>
                <w:bCs/>
                <w:snapToGrid w:val="0"/>
                <w:color w:val="000000"/>
                <w:kern w:val="0"/>
                <w:sz w:val="24"/>
                <w:szCs w:val="24"/>
                <w:lang w:val="en-US" w:eastAsia="zh-CN"/>
              </w:rPr>
              <w:t>5</w:t>
            </w:r>
            <w:r>
              <w:rPr>
                <w:rFonts w:hint="eastAsia" w:ascii="宋体" w:hAnsi="宋体" w:eastAsia="宋体" w:cs="宋体"/>
                <w:b/>
                <w:bCs/>
                <w:snapToGrid w:val="0"/>
                <w:color w:val="000000"/>
                <w:kern w:val="0"/>
                <w:sz w:val="24"/>
                <w:szCs w:val="24"/>
              </w:rPr>
              <w:t>质控</w:t>
            </w:r>
            <w:r>
              <w:rPr>
                <w:rFonts w:hint="eastAsia" w:ascii="宋体" w:hAnsi="宋体" w:eastAsia="宋体" w:cs="宋体"/>
                <w:b/>
                <w:bCs/>
                <w:snapToGrid w:val="0"/>
                <w:color w:val="000000"/>
                <w:kern w:val="0"/>
                <w:sz w:val="24"/>
                <w:szCs w:val="24"/>
                <w:lang w:eastAsia="zh-CN"/>
              </w:rPr>
              <w:t>检测</w:t>
            </w:r>
            <w:r>
              <w:rPr>
                <w:rFonts w:hint="eastAsia" w:ascii="宋体" w:hAnsi="宋体" w:eastAsia="宋体" w:cs="宋体"/>
                <w:b/>
                <w:bCs/>
                <w:snapToGrid w:val="0"/>
                <w:color w:val="000000"/>
                <w:kern w:val="0"/>
                <w:sz w:val="24"/>
                <w:szCs w:val="24"/>
              </w:rPr>
              <w:t>结果</w:t>
            </w:r>
          </w:p>
          <w:tbl>
            <w:tblPr>
              <w:tblStyle w:val="18"/>
              <w:tblW w:w="8979" w:type="dxa"/>
              <w:jc w:val="center"/>
              <w:tblInd w:w="-2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6"/>
              <w:gridCol w:w="1381"/>
              <w:gridCol w:w="1156"/>
              <w:gridCol w:w="1092"/>
              <w:gridCol w:w="1277"/>
              <w:gridCol w:w="1397"/>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2" w:hRule="exact"/>
                <w:jc w:val="center"/>
              </w:trPr>
              <w:tc>
                <w:tcPr>
                  <w:tcW w:w="1436"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质控指标</w:t>
                  </w:r>
                </w:p>
              </w:tc>
              <w:tc>
                <w:tcPr>
                  <w:tcW w:w="1381"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 w:val="0"/>
                      <w:bCs/>
                      <w:snapToGrid w:val="0"/>
                      <w:color w:val="auto"/>
                      <w:kern w:val="0"/>
                      <w:sz w:val="21"/>
                      <w:szCs w:val="21"/>
                      <w:lang w:val="en-US" w:eastAsia="zh-CN"/>
                    </w:rPr>
                  </w:pPr>
                  <w:r>
                    <w:rPr>
                      <w:rFonts w:hint="eastAsia" w:ascii="Times New Roman" w:hAnsi="Times New Roman" w:eastAsia="宋体" w:cs="Times New Roman"/>
                      <w:b w:val="0"/>
                      <w:bCs/>
                      <w:snapToGrid w:val="0"/>
                      <w:color w:val="auto"/>
                      <w:kern w:val="0"/>
                      <w:sz w:val="21"/>
                      <w:szCs w:val="21"/>
                      <w:lang w:val="en-US" w:eastAsia="zh-CN"/>
                    </w:rPr>
                    <w:t>质控方式</w:t>
                  </w:r>
                </w:p>
              </w:tc>
              <w:tc>
                <w:tcPr>
                  <w:tcW w:w="1156"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编号</w:t>
                  </w:r>
                </w:p>
              </w:tc>
              <w:tc>
                <w:tcPr>
                  <w:tcW w:w="1092"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单位</w:t>
                  </w:r>
                </w:p>
              </w:tc>
              <w:tc>
                <w:tcPr>
                  <w:tcW w:w="1277"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检测结果</w:t>
                  </w:r>
                </w:p>
              </w:tc>
              <w:tc>
                <w:tcPr>
                  <w:tcW w:w="1397"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标准浓度</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 w:val="0"/>
                      <w:bCs/>
                      <w:snapToGrid w:val="0"/>
                      <w:color w:val="auto"/>
                      <w:kern w:val="0"/>
                      <w:sz w:val="21"/>
                      <w:szCs w:val="21"/>
                    </w:rPr>
                  </w:pPr>
                  <w:r>
                    <w:rPr>
                      <w:rFonts w:hint="default" w:ascii="Times New Roman" w:hAnsi="Times New Roman" w:eastAsia="宋体" w:cs="Times New Roman"/>
                      <w:b w:val="0"/>
                      <w:bCs/>
                      <w:snapToGrid w:val="0"/>
                      <w:color w:val="auto"/>
                      <w:kern w:val="0"/>
                      <w:sz w:val="21"/>
                      <w:szCs w:val="21"/>
                    </w:rPr>
                    <w:t>质控情况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exact"/>
                <w:jc w:val="center"/>
              </w:trPr>
              <w:tc>
                <w:tcPr>
                  <w:tcW w:w="143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eastAsia" w:ascii="Times New Roman" w:hAnsi="Times New Roman" w:eastAsia="宋体" w:cs="Times New Roman"/>
                      <w:bCs/>
                      <w:snapToGrid w:val="0"/>
                      <w:color w:val="auto"/>
                      <w:kern w:val="0"/>
                      <w:sz w:val="21"/>
                      <w:szCs w:val="21"/>
                      <w:lang w:val="en-US" w:eastAsia="zh-CN"/>
                    </w:rPr>
                  </w:pPr>
                  <w:r>
                    <w:rPr>
                      <w:rFonts w:hint="eastAsia" w:ascii="Times New Roman" w:hAnsi="Times New Roman" w:eastAsia="宋体" w:cs="Times New Roman"/>
                      <w:sz w:val="21"/>
                      <w:szCs w:val="21"/>
                      <w:lang w:val="en-US" w:eastAsia="zh-CN"/>
                    </w:rPr>
                    <w:t>pH</w:t>
                  </w:r>
                </w:p>
              </w:tc>
              <w:tc>
                <w:tcPr>
                  <w:tcW w:w="1381"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Cs/>
                      <w:snapToGrid w:val="0"/>
                      <w:color w:val="auto"/>
                      <w:kern w:val="0"/>
                      <w:sz w:val="21"/>
                      <w:szCs w:val="21"/>
                      <w:lang w:val="en-US" w:eastAsia="zh-CN"/>
                    </w:rPr>
                  </w:pPr>
                  <w:r>
                    <w:rPr>
                      <w:rFonts w:hint="eastAsia" w:ascii="Times New Roman" w:hAnsi="Times New Roman" w:eastAsia="宋体" w:cs="Times New Roman"/>
                      <w:bCs/>
                      <w:snapToGrid w:val="0"/>
                      <w:color w:val="auto"/>
                      <w:kern w:val="0"/>
                      <w:sz w:val="21"/>
                      <w:szCs w:val="21"/>
                      <w:lang w:val="en-US" w:eastAsia="zh-CN"/>
                    </w:rPr>
                    <w:t>质控样</w:t>
                  </w:r>
                </w:p>
              </w:tc>
              <w:tc>
                <w:tcPr>
                  <w:tcW w:w="11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sz w:val="21"/>
                      <w:szCs w:val="21"/>
                      <w:lang w:val="en-US" w:eastAsia="zh-CN"/>
                    </w:rPr>
                    <w:t>202175</w:t>
                  </w:r>
                </w:p>
              </w:tc>
              <w:tc>
                <w:tcPr>
                  <w:tcW w:w="1092"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Cs/>
                      <w:snapToGrid w:val="0"/>
                      <w:color w:val="auto"/>
                      <w:kern w:val="0"/>
                      <w:sz w:val="21"/>
                      <w:szCs w:val="21"/>
                      <w:lang w:val="en-US" w:eastAsia="zh-CN"/>
                    </w:rPr>
                  </w:pPr>
                  <w:r>
                    <w:rPr>
                      <w:rFonts w:hint="eastAsia" w:ascii="Times New Roman" w:hAnsi="Times New Roman" w:eastAsia="宋体" w:cs="Times New Roman"/>
                      <w:bCs/>
                      <w:snapToGrid w:val="0"/>
                      <w:color w:val="auto"/>
                      <w:kern w:val="0"/>
                      <w:sz w:val="21"/>
                      <w:szCs w:val="21"/>
                      <w:lang w:val="en-US" w:eastAsia="zh-CN"/>
                    </w:rPr>
                    <w:t>无量纲</w:t>
                  </w:r>
                </w:p>
              </w:tc>
              <w:tc>
                <w:tcPr>
                  <w:tcW w:w="127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bCs/>
                      <w:snapToGrid w:val="0"/>
                      <w:color w:val="auto"/>
                      <w:kern w:val="0"/>
                      <w:sz w:val="21"/>
                      <w:szCs w:val="21"/>
                      <w:lang w:val="en-US" w:eastAsia="zh-CN"/>
                    </w:rPr>
                    <w:t>7.31</w:t>
                  </w:r>
                </w:p>
              </w:tc>
              <w:tc>
                <w:tcPr>
                  <w:tcW w:w="139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sz w:val="21"/>
                      <w:szCs w:val="21"/>
                      <w:lang w:val="en-US" w:eastAsia="zh-CN"/>
                    </w:rPr>
                    <w:t>7.33</w:t>
                  </w:r>
                  <w:r>
                    <w:rPr>
                      <w:rFonts w:hint="default" w:ascii="Times New Roman" w:hAnsi="Times New Roman" w:eastAsia="宋体" w:cs="Times New Roman"/>
                      <w:sz w:val="21"/>
                      <w:szCs w:val="21"/>
                      <w:lang w:val="en-US" w:eastAsia="zh-CN"/>
                    </w:rPr>
                    <w:t>±0.0</w:t>
                  </w:r>
                  <w:r>
                    <w:rPr>
                      <w:rFonts w:hint="default" w:ascii="Times New Roman" w:hAnsi="Times New Roman" w:cs="Times New Roman"/>
                      <w:sz w:val="21"/>
                      <w:szCs w:val="21"/>
                      <w:lang w:val="en-US" w:eastAsia="zh-CN"/>
                    </w:rPr>
                    <w:t>6</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Cs/>
                      <w:snapToGrid w:val="0"/>
                      <w:color w:val="auto"/>
                      <w:kern w:val="0"/>
                      <w:sz w:val="21"/>
                      <w:szCs w:val="21"/>
                      <w:lang w:eastAsia="zh-CN"/>
                    </w:rPr>
                  </w:pPr>
                  <w:r>
                    <w:rPr>
                      <w:rFonts w:hint="eastAsia" w:ascii="Times New Roman" w:hAnsi="Times New Roman" w:eastAsia="宋体" w:cs="Times New Roman"/>
                      <w:bCs/>
                      <w:snapToGrid w:val="0"/>
                      <w:color w:val="auto"/>
                      <w:kern w:val="0"/>
                      <w:sz w:val="21"/>
                      <w:szCs w:val="21"/>
                      <w:lang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exact"/>
                <w:jc w:val="center"/>
              </w:trPr>
              <w:tc>
                <w:tcPr>
                  <w:tcW w:w="143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rPr>
                  </w:pPr>
                  <w:r>
                    <w:rPr>
                      <w:rFonts w:hint="eastAsia" w:ascii="Times New Roman" w:hAnsi="Times New Roman" w:eastAsia="宋体" w:cs="Times New Roman"/>
                      <w:sz w:val="21"/>
                      <w:szCs w:val="21"/>
                      <w:lang w:val="en-US" w:eastAsia="zh-CN"/>
                    </w:rPr>
                    <w:t>石油类</w:t>
                  </w:r>
                </w:p>
              </w:tc>
              <w:tc>
                <w:tcPr>
                  <w:tcW w:w="1381"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eastAsia" w:ascii="Times New Roman" w:hAnsi="Times New Roman" w:eastAsia="宋体" w:cs="Times New Roman"/>
                      <w:bCs/>
                      <w:snapToGrid w:val="0"/>
                      <w:color w:val="auto"/>
                      <w:kern w:val="0"/>
                      <w:sz w:val="21"/>
                      <w:szCs w:val="21"/>
                      <w:lang w:val="en-US" w:eastAsia="zh-CN"/>
                    </w:rPr>
                    <w:t>质控样</w:t>
                  </w:r>
                </w:p>
              </w:tc>
              <w:tc>
                <w:tcPr>
                  <w:tcW w:w="11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sz w:val="21"/>
                      <w:szCs w:val="21"/>
                      <w:lang w:val="en-US" w:eastAsia="zh-CN"/>
                    </w:rPr>
                    <w:t>205961</w:t>
                  </w:r>
                </w:p>
              </w:tc>
              <w:tc>
                <w:tcPr>
                  <w:tcW w:w="1092"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default" w:ascii="Times New Roman" w:hAnsi="Times New Roman" w:eastAsia="宋体" w:cs="Times New Roman"/>
                      <w:bCs/>
                      <w:snapToGrid w:val="0"/>
                      <w:color w:val="auto"/>
                      <w:kern w:val="0"/>
                      <w:sz w:val="21"/>
                      <w:szCs w:val="21"/>
                    </w:rPr>
                    <w:t>mg/L</w:t>
                  </w:r>
                </w:p>
              </w:tc>
              <w:tc>
                <w:tcPr>
                  <w:tcW w:w="127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bCs/>
                      <w:snapToGrid w:val="0"/>
                      <w:color w:val="auto"/>
                      <w:kern w:val="0"/>
                      <w:sz w:val="21"/>
                      <w:szCs w:val="21"/>
                      <w:lang w:val="en-US" w:eastAsia="zh-CN"/>
                    </w:rPr>
                    <w:t>21.7</w:t>
                  </w:r>
                </w:p>
              </w:tc>
              <w:tc>
                <w:tcPr>
                  <w:tcW w:w="139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rPr>
                  </w:pPr>
                  <w:r>
                    <w:rPr>
                      <w:rFonts w:hint="default" w:ascii="Times New Roman" w:hAnsi="Times New Roman" w:cs="Times New Roman"/>
                      <w:sz w:val="21"/>
                      <w:szCs w:val="21"/>
                      <w:lang w:val="en-US" w:eastAsia="zh-CN"/>
                    </w:rPr>
                    <w:t>19.8</w:t>
                  </w:r>
                  <w:r>
                    <w:rPr>
                      <w:rFonts w:hint="default" w:ascii="Times New Roman" w:hAnsi="Times New Roman" w:eastAsia="宋体" w:cs="Times New Roman"/>
                      <w:sz w:val="21"/>
                      <w:szCs w:val="21"/>
                      <w:lang w:val="en-US" w:eastAsia="zh-CN"/>
                    </w:rPr>
                    <w:t>±</w:t>
                  </w:r>
                  <w:r>
                    <w:rPr>
                      <w:rFonts w:hint="default" w:ascii="Times New Roman" w:hAnsi="Times New Roman" w:cs="Times New Roman"/>
                      <w:sz w:val="21"/>
                      <w:szCs w:val="21"/>
                      <w:lang w:val="en-US" w:eastAsia="zh-CN"/>
                    </w:rPr>
                    <w:t>2.5</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default" w:ascii="Times New Roman" w:hAnsi="Times New Roman" w:eastAsia="宋体" w:cs="Times New Roman"/>
                      <w:bCs/>
                      <w:snapToGrid w:val="0"/>
                      <w:color w:val="auto"/>
                      <w:kern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exact"/>
                <w:jc w:val="center"/>
              </w:trPr>
              <w:tc>
                <w:tcPr>
                  <w:tcW w:w="143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rPr>
                  </w:pPr>
                  <w:r>
                    <w:rPr>
                      <w:rFonts w:hint="eastAsia" w:ascii="Times New Roman" w:hAnsi="Times New Roman" w:eastAsia="宋体" w:cs="Times New Roman"/>
                      <w:sz w:val="21"/>
                      <w:szCs w:val="21"/>
                      <w:lang w:val="en-US" w:eastAsia="zh-CN"/>
                    </w:rPr>
                    <w:t>化学需氧量</w:t>
                  </w:r>
                </w:p>
              </w:tc>
              <w:tc>
                <w:tcPr>
                  <w:tcW w:w="1381"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eastAsia" w:ascii="Times New Roman" w:hAnsi="Times New Roman" w:eastAsia="宋体" w:cs="Times New Roman"/>
                      <w:bCs/>
                      <w:snapToGrid w:val="0"/>
                      <w:color w:val="auto"/>
                      <w:kern w:val="0"/>
                      <w:sz w:val="21"/>
                      <w:szCs w:val="21"/>
                      <w:lang w:val="en-US" w:eastAsia="zh-CN"/>
                    </w:rPr>
                    <w:t>质控样</w:t>
                  </w:r>
                </w:p>
              </w:tc>
              <w:tc>
                <w:tcPr>
                  <w:tcW w:w="11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rPr>
                  </w:pPr>
                  <w:r>
                    <w:rPr>
                      <w:rFonts w:hint="default" w:ascii="Times New Roman" w:hAnsi="Times New Roman" w:eastAsia="宋体" w:cs="Times New Roman"/>
                      <w:sz w:val="21"/>
                      <w:szCs w:val="21"/>
                      <w:lang w:val="en-US" w:eastAsia="zh-CN"/>
                    </w:rPr>
                    <w:t>20011</w:t>
                  </w:r>
                  <w:r>
                    <w:rPr>
                      <w:rFonts w:hint="default" w:ascii="Times New Roman" w:hAnsi="Times New Roman" w:cs="Times New Roman"/>
                      <w:sz w:val="21"/>
                      <w:szCs w:val="21"/>
                      <w:lang w:val="en-US" w:eastAsia="zh-CN"/>
                    </w:rPr>
                    <w:t>19</w:t>
                  </w:r>
                </w:p>
              </w:tc>
              <w:tc>
                <w:tcPr>
                  <w:tcW w:w="1092"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default" w:ascii="Times New Roman" w:hAnsi="Times New Roman" w:eastAsia="宋体" w:cs="Times New Roman"/>
                      <w:bCs/>
                      <w:snapToGrid w:val="0"/>
                      <w:color w:val="auto"/>
                      <w:kern w:val="0"/>
                      <w:sz w:val="21"/>
                      <w:szCs w:val="21"/>
                    </w:rPr>
                    <w:t>mg/L</w:t>
                  </w:r>
                </w:p>
              </w:tc>
              <w:tc>
                <w:tcPr>
                  <w:tcW w:w="127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bCs/>
                      <w:snapToGrid w:val="0"/>
                      <w:color w:val="auto"/>
                      <w:kern w:val="0"/>
                      <w:sz w:val="21"/>
                      <w:szCs w:val="21"/>
                      <w:lang w:val="en-US" w:eastAsia="zh-CN"/>
                    </w:rPr>
                    <w:t>167</w:t>
                  </w:r>
                </w:p>
              </w:tc>
              <w:tc>
                <w:tcPr>
                  <w:tcW w:w="139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rPr>
                  </w:pPr>
                  <w:r>
                    <w:rPr>
                      <w:rFonts w:hint="default" w:ascii="Times New Roman" w:hAnsi="Times New Roman" w:cs="Times New Roman"/>
                      <w:sz w:val="21"/>
                      <w:szCs w:val="21"/>
                      <w:lang w:val="en-US" w:eastAsia="zh-CN"/>
                    </w:rPr>
                    <w:t>164</w:t>
                  </w:r>
                  <w:r>
                    <w:rPr>
                      <w:rFonts w:hint="default" w:ascii="Times New Roman" w:hAnsi="Times New Roman" w:eastAsia="宋体" w:cs="Times New Roman"/>
                      <w:sz w:val="21"/>
                      <w:szCs w:val="21"/>
                      <w:lang w:val="en-US" w:eastAsia="zh-CN"/>
                    </w:rPr>
                    <w:t>±</w:t>
                  </w:r>
                  <w:r>
                    <w:rPr>
                      <w:rFonts w:hint="default" w:ascii="Times New Roman" w:hAnsi="Times New Roman" w:cs="Times New Roman"/>
                      <w:sz w:val="21"/>
                      <w:szCs w:val="21"/>
                      <w:lang w:val="en-US" w:eastAsia="zh-CN"/>
                    </w:rPr>
                    <w:t>10</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default" w:ascii="Times New Roman" w:hAnsi="Times New Roman" w:eastAsia="宋体" w:cs="Times New Roman"/>
                      <w:bCs/>
                      <w:snapToGrid w:val="0"/>
                      <w:color w:val="auto"/>
                      <w:kern w:val="0"/>
                      <w:sz w:val="21"/>
                      <w:szCs w:val="21"/>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exact"/>
                <w:jc w:val="center"/>
              </w:trPr>
              <w:tc>
                <w:tcPr>
                  <w:tcW w:w="143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eastAsia" w:ascii="Times New Roman" w:hAnsi="Times New Roman" w:eastAsia="宋体" w:cs="Times New Roman"/>
                      <w:bCs/>
                      <w:snapToGrid w:val="0"/>
                      <w:color w:val="auto"/>
                      <w:kern w:val="0"/>
                      <w:sz w:val="21"/>
                      <w:szCs w:val="21"/>
                      <w:lang w:eastAsia="zh-CN"/>
                    </w:rPr>
                  </w:pPr>
                  <w:r>
                    <w:rPr>
                      <w:rFonts w:hint="eastAsia" w:ascii="Times New Roman" w:hAnsi="Times New Roman" w:eastAsia="宋体" w:cs="Times New Roman"/>
                      <w:sz w:val="21"/>
                      <w:szCs w:val="21"/>
                      <w:lang w:val="en-US" w:eastAsia="zh-CN"/>
                    </w:rPr>
                    <w:t>氨氮</w:t>
                  </w:r>
                </w:p>
              </w:tc>
              <w:tc>
                <w:tcPr>
                  <w:tcW w:w="1381"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Cs/>
                      <w:snapToGrid w:val="0"/>
                      <w:color w:val="auto"/>
                      <w:kern w:val="0"/>
                      <w:sz w:val="21"/>
                      <w:szCs w:val="21"/>
                      <w:lang w:val="en-US" w:eastAsia="zh-CN"/>
                    </w:rPr>
                  </w:pPr>
                  <w:r>
                    <w:rPr>
                      <w:rFonts w:hint="eastAsia" w:ascii="Times New Roman" w:hAnsi="Times New Roman" w:eastAsia="宋体" w:cs="Times New Roman"/>
                      <w:bCs/>
                      <w:snapToGrid w:val="0"/>
                      <w:color w:val="auto"/>
                      <w:kern w:val="0"/>
                      <w:sz w:val="21"/>
                      <w:szCs w:val="21"/>
                      <w:lang w:val="en-US" w:eastAsia="zh-CN"/>
                    </w:rPr>
                    <w:t>质控样</w:t>
                  </w:r>
                </w:p>
              </w:tc>
              <w:tc>
                <w:tcPr>
                  <w:tcW w:w="1156"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eastAsia="宋体" w:cs="Times New Roman"/>
                      <w:sz w:val="21"/>
                      <w:szCs w:val="21"/>
                      <w:lang w:val="en-US" w:eastAsia="zh-CN"/>
                    </w:rPr>
                    <w:t>2005107</w:t>
                  </w:r>
                </w:p>
              </w:tc>
              <w:tc>
                <w:tcPr>
                  <w:tcW w:w="1092"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eastAsia" w:ascii="Times New Roman" w:hAnsi="Times New Roman" w:eastAsia="宋体" w:cs="Times New Roman"/>
                      <w:bCs/>
                      <w:snapToGrid w:val="0"/>
                      <w:color w:val="auto"/>
                      <w:kern w:val="0"/>
                      <w:sz w:val="21"/>
                      <w:szCs w:val="21"/>
                      <w:lang w:val="en-US" w:eastAsia="zh-CN"/>
                    </w:rPr>
                  </w:pPr>
                  <w:r>
                    <w:rPr>
                      <w:rFonts w:hint="default" w:ascii="Times New Roman" w:hAnsi="Times New Roman" w:eastAsia="宋体" w:cs="Times New Roman"/>
                      <w:bCs/>
                      <w:snapToGrid w:val="0"/>
                      <w:color w:val="auto"/>
                      <w:kern w:val="0"/>
                      <w:sz w:val="21"/>
                      <w:szCs w:val="21"/>
                    </w:rPr>
                    <w:t>mg/L</w:t>
                  </w:r>
                </w:p>
              </w:tc>
              <w:tc>
                <w:tcPr>
                  <w:tcW w:w="127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cs="Times New Roman"/>
                      <w:bCs/>
                      <w:snapToGrid w:val="0"/>
                      <w:color w:val="auto"/>
                      <w:kern w:val="0"/>
                      <w:sz w:val="21"/>
                      <w:szCs w:val="21"/>
                      <w:lang w:val="en-US" w:eastAsia="zh-CN"/>
                    </w:rPr>
                    <w:t>1.76</w:t>
                  </w:r>
                </w:p>
              </w:tc>
              <w:tc>
                <w:tcPr>
                  <w:tcW w:w="1397"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bCs/>
                      <w:snapToGrid w:val="0"/>
                      <w:color w:val="auto"/>
                      <w:kern w:val="0"/>
                      <w:sz w:val="21"/>
                      <w:szCs w:val="21"/>
                      <w:lang w:val="en-US" w:eastAsia="zh-CN"/>
                    </w:rPr>
                  </w:pPr>
                  <w:r>
                    <w:rPr>
                      <w:rFonts w:hint="default" w:ascii="Times New Roman" w:hAnsi="Times New Roman" w:eastAsia="宋体" w:cs="Times New Roman"/>
                      <w:sz w:val="21"/>
                      <w:szCs w:val="21"/>
                      <w:lang w:val="en-US" w:eastAsia="zh-CN"/>
                    </w:rPr>
                    <w:t>1.78±0.07</w:t>
                  </w:r>
                </w:p>
              </w:tc>
              <w:tc>
                <w:tcPr>
                  <w:tcW w:w="1240" w:type="dxa"/>
                  <w:vAlign w:val="center"/>
                </w:tcPr>
                <w:p>
                  <w:pPr>
                    <w:keepNext w:val="0"/>
                    <w:keepLines w:val="0"/>
                    <w:pageBreakBefore w:val="0"/>
                    <w:widowControl/>
                    <w:kinsoku/>
                    <w:wordWrap/>
                    <w:overflowPunct/>
                    <w:topLinePunct w:val="0"/>
                    <w:autoSpaceDE/>
                    <w:autoSpaceDN/>
                    <w:bidi w:val="0"/>
                    <w:adjustRightInd w:val="0"/>
                    <w:snapToGrid w:val="0"/>
                    <w:spacing w:after="0" w:line="300" w:lineRule="exact"/>
                    <w:jc w:val="center"/>
                    <w:textAlignment w:val="auto"/>
                    <w:outlineLvl w:val="9"/>
                    <w:rPr>
                      <w:rFonts w:hint="default" w:ascii="Times New Roman" w:hAnsi="Times New Roman" w:eastAsia="宋体" w:cs="Times New Roman"/>
                      <w:bCs/>
                      <w:snapToGrid w:val="0"/>
                      <w:color w:val="auto"/>
                      <w:kern w:val="0"/>
                      <w:sz w:val="21"/>
                      <w:szCs w:val="21"/>
                    </w:rPr>
                  </w:pPr>
                  <w:r>
                    <w:rPr>
                      <w:rFonts w:hint="eastAsia" w:ascii="Times New Roman" w:hAnsi="Times New Roman" w:eastAsia="宋体" w:cs="Times New Roman"/>
                      <w:bCs/>
                      <w:snapToGrid w:val="0"/>
                      <w:color w:val="auto"/>
                      <w:kern w:val="0"/>
                      <w:sz w:val="21"/>
                      <w:szCs w:val="21"/>
                    </w:rPr>
                    <w:t>合格</w:t>
                  </w:r>
                </w:p>
              </w:tc>
            </w:tr>
          </w:tbl>
          <w:p>
            <w:pPr>
              <w:pStyle w:val="20"/>
              <w:spacing w:after="0" w:line="560" w:lineRule="exact"/>
              <w:ind w:firstLine="480"/>
              <w:rPr>
                <w:rFonts w:eastAsia="宋体"/>
                <w:szCs w:val="24"/>
              </w:rPr>
            </w:pPr>
          </w:p>
          <w:p>
            <w:pPr>
              <w:pStyle w:val="26"/>
              <w:spacing w:before="48" w:beforeLines="20" w:line="360" w:lineRule="auto"/>
              <w:ind w:firstLine="0" w:firstLineChars="0"/>
              <w:rPr>
                <w:rFonts w:eastAsia="仿宋_GB2312"/>
                <w:color w:val="000000"/>
                <w:szCs w:val="21"/>
              </w:rPr>
            </w:pPr>
          </w:p>
        </w:tc>
      </w:tr>
    </w:tbl>
    <w:p>
      <w:pPr>
        <w:pStyle w:val="20"/>
        <w:ind w:firstLine="0" w:firstLineChars="0"/>
        <w:rPr>
          <w:rFonts w:eastAsia="仿宋_GB2312"/>
          <w:color w:val="000000"/>
          <w:sz w:val="21"/>
          <w:szCs w:val="21"/>
        </w:rPr>
      </w:pPr>
    </w:p>
    <w:p>
      <w:pPr>
        <w:spacing w:after="0" w:line="360" w:lineRule="auto"/>
        <w:rPr>
          <w:rFonts w:hint="eastAsia" w:ascii="宋体" w:hAnsi="宋体" w:eastAsia="宋体" w:cs="宋体"/>
          <w:b/>
          <w:color w:val="000000"/>
          <w:sz w:val="28"/>
          <w:szCs w:val="28"/>
          <w:lang w:eastAsia="zh-CN"/>
        </w:rPr>
      </w:pPr>
      <w:bookmarkStart w:id="17" w:name="_Toc8627_WPSOffice_Level1"/>
      <w:r>
        <w:rPr>
          <w:rFonts w:hint="eastAsia" w:ascii="宋体" w:hAnsi="宋体" w:eastAsia="宋体" w:cs="宋体"/>
          <w:b/>
          <w:color w:val="000000"/>
          <w:sz w:val="28"/>
          <w:szCs w:val="28"/>
        </w:rPr>
        <w:t>表六  验收监测内容</w:t>
      </w:r>
      <w:r>
        <w:rPr>
          <w:rFonts w:hint="eastAsia" w:ascii="宋体" w:hAnsi="宋体" w:eastAsia="宋体" w:cs="宋体"/>
          <w:b/>
          <w:color w:val="000000"/>
          <w:sz w:val="28"/>
          <w:szCs w:val="28"/>
          <w:lang w:eastAsia="zh-CN"/>
        </w:rPr>
        <w:t>及分析方法</w:t>
      </w:r>
      <w:bookmarkEnd w:id="17"/>
    </w:p>
    <w:tbl>
      <w:tblPr>
        <w:tblStyle w:val="18"/>
        <w:tblW w:w="9050" w:type="dxa"/>
        <w:jc w:val="center"/>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07" w:hRule="atLeast"/>
          <w:jc w:val="center"/>
        </w:trPr>
        <w:tc>
          <w:tcPr>
            <w:tcW w:w="9050" w:type="dxa"/>
          </w:tcPr>
          <w:p>
            <w:pPr>
              <w:pStyle w:val="20"/>
              <w:keepNext w:val="0"/>
              <w:keepLines w:val="0"/>
              <w:pageBreakBefore w:val="0"/>
              <w:widowControl/>
              <w:kinsoku/>
              <w:wordWrap/>
              <w:overflowPunct/>
              <w:topLinePunct w:val="0"/>
              <w:autoSpaceDE/>
              <w:autoSpaceDN/>
              <w:bidi w:val="0"/>
              <w:adjustRightInd w:val="0"/>
              <w:snapToGrid w:val="0"/>
              <w:spacing w:before="181" w:beforeLines="50" w:after="0" w:line="240" w:lineRule="auto"/>
              <w:ind w:left="0" w:leftChars="0" w:firstLine="0" w:firstLineChars="0"/>
              <w:textAlignment w:val="auto"/>
              <w:outlineLvl w:val="9"/>
              <w:rPr>
                <w:rFonts w:hint="eastAsia" w:ascii="宋体" w:hAnsi="宋体" w:eastAsia="宋体" w:cs="宋体"/>
                <w:sz w:val="24"/>
                <w:szCs w:val="24"/>
              </w:rPr>
            </w:pPr>
            <w:r>
              <w:rPr>
                <w:rFonts w:hint="eastAsia" w:eastAsia="宋体" w:cs="宋体"/>
                <w:sz w:val="24"/>
                <w:szCs w:val="24"/>
                <w:lang w:val="en-US" w:eastAsia="zh-CN"/>
              </w:rPr>
              <w:t>1、</w:t>
            </w:r>
            <w:r>
              <w:rPr>
                <w:rFonts w:hint="eastAsia" w:ascii="宋体" w:hAnsi="宋体" w:eastAsia="宋体" w:cs="宋体"/>
                <w:sz w:val="24"/>
                <w:szCs w:val="24"/>
              </w:rPr>
              <w:t>验收监测内容见表6-1。</w:t>
            </w:r>
          </w:p>
          <w:p>
            <w:pPr>
              <w:pStyle w:val="46"/>
              <w:keepNext w:val="0"/>
              <w:keepLines w:val="0"/>
              <w:pageBreakBefore w:val="0"/>
              <w:widowControl/>
              <w:kinsoku/>
              <w:wordWrap/>
              <w:overflowPunct/>
              <w:topLinePunct w:val="0"/>
              <w:autoSpaceDE/>
              <w:autoSpaceDN/>
              <w:bidi w:val="0"/>
              <w:adjustRightInd/>
              <w:snapToGrid w:val="0"/>
              <w:spacing w:after="181" w:afterLines="50" w:line="240" w:lineRule="auto"/>
              <w:ind w:firstLine="44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表6-1 验收监测内容</w:t>
            </w:r>
          </w:p>
          <w:tbl>
            <w:tblPr>
              <w:tblStyle w:val="19"/>
              <w:tblW w:w="865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937"/>
              <w:gridCol w:w="668"/>
              <w:gridCol w:w="2190"/>
              <w:gridCol w:w="1862"/>
              <w:gridCol w:w="2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1740" w:type="dxa"/>
                  <w:gridSpan w:val="2"/>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类别</w:t>
                  </w:r>
                </w:p>
              </w:tc>
              <w:tc>
                <w:tcPr>
                  <w:tcW w:w="668"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序号</w:t>
                  </w:r>
                </w:p>
              </w:tc>
              <w:tc>
                <w:tcPr>
                  <w:tcW w:w="2190"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监测点位</w:t>
                  </w:r>
                </w:p>
              </w:tc>
              <w:tc>
                <w:tcPr>
                  <w:tcW w:w="1862"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监测项目</w:t>
                  </w:r>
                </w:p>
              </w:tc>
              <w:tc>
                <w:tcPr>
                  <w:tcW w:w="2196"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废气</w:t>
                  </w:r>
                </w:p>
              </w:tc>
              <w:tc>
                <w:tcPr>
                  <w:tcW w:w="937" w:type="dxa"/>
                  <w:vMerge w:val="restart"/>
                  <w:vAlign w:val="center"/>
                </w:tcPr>
                <w:p>
                  <w:pPr>
                    <w:pStyle w:val="47"/>
                    <w:widowControl/>
                    <w:spacing w:after="0"/>
                    <w:rPr>
                      <w:rFonts w:hint="eastAsia" w:ascii="宋体" w:hAnsi="宋体" w:eastAsia="宋体" w:cs="宋体"/>
                      <w:sz w:val="21"/>
                      <w:szCs w:val="21"/>
                      <w:lang w:eastAsia="zh-CN"/>
                    </w:rPr>
                  </w:pPr>
                  <w:r>
                    <w:rPr>
                      <w:rFonts w:hint="eastAsia" w:ascii="宋体" w:hAnsi="宋体" w:eastAsia="宋体" w:cs="宋体"/>
                      <w:sz w:val="21"/>
                      <w:szCs w:val="21"/>
                      <w:lang w:eastAsia="zh-CN"/>
                    </w:rPr>
                    <w:t>无组织废气</w:t>
                  </w: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G1</w:t>
                  </w:r>
                </w:p>
              </w:tc>
              <w:tc>
                <w:tcPr>
                  <w:tcW w:w="2190" w:type="dxa"/>
                  <w:vAlign w:val="center"/>
                </w:tcPr>
                <w:p>
                  <w:pPr>
                    <w:pStyle w:val="47"/>
                    <w:widowControl/>
                    <w:spacing w:after="0"/>
                    <w:rPr>
                      <w:rFonts w:hint="eastAsia" w:ascii="宋体" w:hAnsi="宋体" w:eastAsia="宋体" w:cs="宋体"/>
                      <w:sz w:val="21"/>
                      <w:szCs w:val="21"/>
                      <w:lang w:eastAsia="zh-CN"/>
                    </w:rPr>
                  </w:pPr>
                  <w:r>
                    <w:rPr>
                      <w:rFonts w:hint="eastAsia" w:ascii="宋体" w:hAnsi="宋体" w:eastAsia="宋体" w:cs="宋体"/>
                      <w:sz w:val="21"/>
                      <w:szCs w:val="21"/>
                      <w:lang w:eastAsia="zh-CN"/>
                    </w:rPr>
                    <w:t>厂界东</w:t>
                  </w:r>
                </w:p>
              </w:tc>
              <w:tc>
                <w:tcPr>
                  <w:tcW w:w="1862" w:type="dxa"/>
                  <w:vMerge w:val="restart"/>
                  <w:vAlign w:val="center"/>
                </w:tcPr>
                <w:p>
                  <w:pPr>
                    <w:pStyle w:val="47"/>
                    <w:widowControl/>
                    <w:spacing w:after="0"/>
                    <w:rPr>
                      <w:rFonts w:hint="eastAsia" w:ascii="宋体" w:hAnsi="宋体" w:eastAsia="宋体" w:cs="宋体"/>
                      <w:sz w:val="21"/>
                      <w:szCs w:val="21"/>
                      <w:lang w:eastAsia="zh-CN"/>
                    </w:rPr>
                  </w:pPr>
                  <w:r>
                    <w:rPr>
                      <w:rFonts w:hint="eastAsia" w:ascii="宋体" w:hAnsi="宋体" w:eastAsia="宋体" w:cs="宋体"/>
                      <w:sz w:val="21"/>
                      <w:szCs w:val="21"/>
                      <w:lang w:eastAsia="zh-CN"/>
                    </w:rPr>
                    <w:t>非甲烷总烃</w:t>
                  </w:r>
                </w:p>
              </w:tc>
              <w:tc>
                <w:tcPr>
                  <w:tcW w:w="2196" w:type="dxa"/>
                  <w:vMerge w:val="restart"/>
                  <w:vAlign w:val="center"/>
                </w:tcPr>
                <w:p>
                  <w:pPr>
                    <w:pStyle w:val="47"/>
                    <w:widowControl/>
                    <w:spacing w:after="0"/>
                    <w:rPr>
                      <w:rFonts w:hint="eastAsia" w:ascii="宋体" w:hAnsi="宋体" w:eastAsia="宋体" w:cs="宋体"/>
                      <w:sz w:val="21"/>
                      <w:szCs w:val="21"/>
                      <w:lang w:eastAsia="zh-CN"/>
                    </w:rPr>
                  </w:pPr>
                  <w:r>
                    <w:rPr>
                      <w:rFonts w:hint="eastAsia" w:ascii="宋体" w:hAnsi="宋体" w:eastAsia="宋体" w:cs="宋体"/>
                      <w:sz w:val="21"/>
                      <w:szCs w:val="21"/>
                    </w:rPr>
                    <w:t>连续采样2天，每天采样</w:t>
                  </w:r>
                  <w:r>
                    <w:rPr>
                      <w:rFonts w:hint="eastAsia" w:ascii="宋体" w:hAnsi="宋体" w:eastAsia="宋体" w:cs="宋体"/>
                      <w:sz w:val="21"/>
                      <w:szCs w:val="21"/>
                      <w:lang w:val="en-US" w:eastAsia="zh-CN"/>
                    </w:rPr>
                    <w:t>3</w:t>
                  </w:r>
                  <w:r>
                    <w:rPr>
                      <w:rFonts w:hint="eastAsia" w:ascii="宋体" w:hAnsi="宋体" w:eastAsia="宋体" w:cs="宋体"/>
                      <w:sz w:val="21"/>
                      <w:szCs w:val="21"/>
                    </w:rPr>
                    <w:t>次，每次间隔2小时</w:t>
                  </w:r>
                  <w:r>
                    <w:rPr>
                      <w:rFonts w:hint="eastAsia" w:ascii="宋体" w:hAnsi="宋体" w:eastAsia="宋体" w:cs="宋体"/>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G2</w:t>
                  </w:r>
                </w:p>
              </w:tc>
              <w:tc>
                <w:tcPr>
                  <w:tcW w:w="2190" w:type="dxa"/>
                  <w:vAlign w:val="center"/>
                </w:tcPr>
                <w:p>
                  <w:pPr>
                    <w:widowControl/>
                    <w:spacing w:after="0"/>
                    <w:jc w:val="center"/>
                    <w:rPr>
                      <w:rFonts w:hint="eastAsia" w:ascii="宋体" w:hAnsi="宋体" w:eastAsia="宋体" w:cs="宋体"/>
                      <w:sz w:val="21"/>
                      <w:szCs w:val="21"/>
                    </w:rPr>
                  </w:pPr>
                  <w:r>
                    <w:rPr>
                      <w:rFonts w:hint="eastAsia" w:ascii="宋体" w:hAnsi="宋体" w:eastAsia="宋体" w:cs="宋体"/>
                      <w:sz w:val="21"/>
                      <w:szCs w:val="21"/>
                      <w:lang w:eastAsia="zh-CN"/>
                    </w:rPr>
                    <w:t>厂界南</w:t>
                  </w:r>
                </w:p>
              </w:tc>
              <w:tc>
                <w:tcPr>
                  <w:tcW w:w="1862" w:type="dxa"/>
                  <w:vMerge w:val="continue"/>
                  <w:vAlign w:val="center"/>
                </w:tcPr>
                <w:p>
                  <w:pPr>
                    <w:pStyle w:val="47"/>
                    <w:widowControl/>
                    <w:spacing w:after="0"/>
                    <w:rPr>
                      <w:rFonts w:hint="eastAsia" w:ascii="宋体" w:hAnsi="宋体" w:eastAsia="宋体" w:cs="宋体"/>
                      <w:sz w:val="21"/>
                      <w:szCs w:val="21"/>
                    </w:rPr>
                  </w:pPr>
                </w:p>
              </w:tc>
              <w:tc>
                <w:tcPr>
                  <w:tcW w:w="2196" w:type="dxa"/>
                  <w:vMerge w:val="continue"/>
                  <w:vAlign w:val="center"/>
                </w:tcPr>
                <w:p>
                  <w:pPr>
                    <w:pStyle w:val="47"/>
                    <w:widowControl/>
                    <w:spacing w:after="0"/>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8"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G3</w:t>
                  </w:r>
                </w:p>
              </w:tc>
              <w:tc>
                <w:tcPr>
                  <w:tcW w:w="2190" w:type="dxa"/>
                  <w:vAlign w:val="center"/>
                </w:tcPr>
                <w:p>
                  <w:pPr>
                    <w:widowControl/>
                    <w:spacing w:after="0"/>
                    <w:jc w:val="center"/>
                    <w:rPr>
                      <w:rFonts w:hint="eastAsia" w:ascii="宋体" w:hAnsi="宋体" w:eastAsia="宋体" w:cs="宋体"/>
                      <w:sz w:val="21"/>
                      <w:szCs w:val="21"/>
                    </w:rPr>
                  </w:pPr>
                  <w:r>
                    <w:rPr>
                      <w:rFonts w:hint="eastAsia" w:ascii="宋体" w:hAnsi="宋体" w:eastAsia="宋体" w:cs="宋体"/>
                      <w:sz w:val="21"/>
                      <w:szCs w:val="21"/>
                      <w:lang w:eastAsia="zh-CN"/>
                    </w:rPr>
                    <w:t>厂界西</w:t>
                  </w:r>
                </w:p>
              </w:tc>
              <w:tc>
                <w:tcPr>
                  <w:tcW w:w="1862" w:type="dxa"/>
                  <w:vMerge w:val="continue"/>
                  <w:vAlign w:val="center"/>
                </w:tcPr>
                <w:p>
                  <w:pPr>
                    <w:pStyle w:val="47"/>
                    <w:widowControl/>
                    <w:spacing w:after="0"/>
                    <w:rPr>
                      <w:rFonts w:hint="eastAsia" w:ascii="宋体" w:hAnsi="宋体" w:eastAsia="宋体" w:cs="宋体"/>
                      <w:sz w:val="21"/>
                      <w:szCs w:val="21"/>
                    </w:rPr>
                  </w:pPr>
                </w:p>
              </w:tc>
              <w:tc>
                <w:tcPr>
                  <w:tcW w:w="2196" w:type="dxa"/>
                  <w:vMerge w:val="continue"/>
                  <w:vAlign w:val="center"/>
                </w:tcPr>
                <w:p>
                  <w:pPr>
                    <w:pStyle w:val="47"/>
                    <w:widowControl/>
                    <w:spacing w:after="0"/>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9"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G4</w:t>
                  </w:r>
                </w:p>
              </w:tc>
              <w:tc>
                <w:tcPr>
                  <w:tcW w:w="2190" w:type="dxa"/>
                  <w:vAlign w:val="center"/>
                </w:tcPr>
                <w:p>
                  <w:pPr>
                    <w:widowControl/>
                    <w:spacing w:after="0"/>
                    <w:jc w:val="center"/>
                    <w:rPr>
                      <w:rFonts w:hint="eastAsia" w:ascii="宋体" w:hAnsi="宋体" w:eastAsia="宋体" w:cs="宋体"/>
                      <w:sz w:val="21"/>
                      <w:szCs w:val="21"/>
                    </w:rPr>
                  </w:pPr>
                  <w:r>
                    <w:rPr>
                      <w:rFonts w:hint="eastAsia" w:ascii="宋体" w:hAnsi="宋体" w:eastAsia="宋体" w:cs="宋体"/>
                      <w:sz w:val="21"/>
                      <w:szCs w:val="21"/>
                      <w:lang w:eastAsia="zh-CN"/>
                    </w:rPr>
                    <w:t>厂界北</w:t>
                  </w:r>
                </w:p>
              </w:tc>
              <w:tc>
                <w:tcPr>
                  <w:tcW w:w="1862" w:type="dxa"/>
                  <w:vMerge w:val="continue"/>
                  <w:vAlign w:val="center"/>
                </w:tcPr>
                <w:p>
                  <w:pPr>
                    <w:pStyle w:val="47"/>
                    <w:widowControl/>
                    <w:spacing w:after="0"/>
                    <w:rPr>
                      <w:rFonts w:hint="eastAsia" w:ascii="宋体" w:hAnsi="宋体" w:eastAsia="宋体" w:cs="宋体"/>
                      <w:sz w:val="21"/>
                      <w:szCs w:val="21"/>
                    </w:rPr>
                  </w:pPr>
                </w:p>
              </w:tc>
              <w:tc>
                <w:tcPr>
                  <w:tcW w:w="2196" w:type="dxa"/>
                  <w:vMerge w:val="continue"/>
                  <w:vAlign w:val="center"/>
                </w:tcPr>
                <w:p>
                  <w:pPr>
                    <w:pStyle w:val="47"/>
                    <w:widowControl/>
                    <w:spacing w:after="0"/>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72" w:hRule="atLeast"/>
                <w:jc w:val="center"/>
              </w:trPr>
              <w:tc>
                <w:tcPr>
                  <w:tcW w:w="803"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废水</w:t>
                  </w:r>
                </w:p>
              </w:tc>
              <w:tc>
                <w:tcPr>
                  <w:tcW w:w="937"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废</w:t>
                  </w:r>
                  <w:r>
                    <w:rPr>
                      <w:rFonts w:hint="eastAsia" w:ascii="宋体" w:hAnsi="宋体" w:eastAsia="宋体" w:cs="宋体"/>
                      <w:sz w:val="21"/>
                      <w:szCs w:val="21"/>
                      <w:lang w:eastAsia="zh-CN"/>
                    </w:rPr>
                    <w:t>隔油池</w:t>
                  </w:r>
                  <w:r>
                    <w:rPr>
                      <w:rFonts w:hint="eastAsia" w:ascii="宋体" w:hAnsi="宋体" w:eastAsia="宋体" w:cs="宋体"/>
                      <w:sz w:val="21"/>
                      <w:szCs w:val="21"/>
                    </w:rPr>
                    <w:t>水</w:t>
                  </w: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W1</w:t>
                  </w:r>
                </w:p>
              </w:tc>
              <w:tc>
                <w:tcPr>
                  <w:tcW w:w="2190" w:type="dxa"/>
                  <w:vAlign w:val="center"/>
                </w:tcPr>
                <w:p>
                  <w:pPr>
                    <w:pStyle w:val="47"/>
                    <w:widowControl/>
                    <w:spacing w:after="0"/>
                    <w:rPr>
                      <w:rFonts w:hint="eastAsia" w:ascii="宋体" w:hAnsi="宋体" w:eastAsia="宋体" w:cs="宋体"/>
                      <w:sz w:val="21"/>
                      <w:szCs w:val="21"/>
                      <w:lang w:eastAsia="zh-CN"/>
                    </w:rPr>
                  </w:pPr>
                  <w:r>
                    <w:rPr>
                      <w:rFonts w:hint="eastAsia" w:ascii="宋体" w:hAnsi="宋体" w:eastAsia="宋体" w:cs="宋体"/>
                      <w:sz w:val="21"/>
                      <w:szCs w:val="21"/>
                      <w:lang w:eastAsia="zh-CN"/>
                    </w:rPr>
                    <w:t>油水分离池</w:t>
                  </w:r>
                </w:p>
                <w:p>
                  <w:pPr>
                    <w:pStyle w:val="47"/>
                    <w:widowControl/>
                    <w:spacing w:after="0"/>
                    <w:rPr>
                      <w:rFonts w:hint="eastAsia" w:ascii="宋体" w:hAnsi="宋体" w:eastAsia="宋体" w:cs="宋体"/>
                      <w:sz w:val="21"/>
                      <w:szCs w:val="21"/>
                    </w:rPr>
                  </w:pPr>
                  <w:r>
                    <w:rPr>
                      <w:rFonts w:hint="eastAsia" w:ascii="宋体" w:hAnsi="宋体" w:eastAsia="宋体" w:cs="宋体"/>
                      <w:sz w:val="21"/>
                      <w:szCs w:val="21"/>
                      <w:lang w:eastAsia="zh-CN"/>
                    </w:rPr>
                    <w:t>废水排</w:t>
                  </w:r>
                  <w:r>
                    <w:rPr>
                      <w:rFonts w:hint="eastAsia" w:ascii="宋体" w:hAnsi="宋体" w:eastAsia="宋体" w:cs="宋体"/>
                      <w:sz w:val="21"/>
                      <w:szCs w:val="21"/>
                    </w:rPr>
                    <w:t>口</w:t>
                  </w:r>
                </w:p>
              </w:tc>
              <w:tc>
                <w:tcPr>
                  <w:tcW w:w="1862"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pH、悬浮物、化学需氧量、五日生化需氧量、石油类、氨氮</w:t>
                  </w:r>
                  <w:r>
                    <w:rPr>
                      <w:rFonts w:hint="eastAsia" w:ascii="宋体" w:hAnsi="宋体" w:eastAsia="宋体" w:cs="宋体"/>
                      <w:sz w:val="21"/>
                      <w:szCs w:val="21"/>
                      <w:lang w:val="en-US" w:eastAsia="zh-CN"/>
                    </w:rPr>
                    <w:t>6</w:t>
                  </w:r>
                  <w:r>
                    <w:rPr>
                      <w:rFonts w:hint="eastAsia" w:ascii="宋体" w:hAnsi="宋体" w:eastAsia="宋体" w:cs="宋体"/>
                      <w:sz w:val="21"/>
                      <w:szCs w:val="21"/>
                    </w:rPr>
                    <w:t>项。</w:t>
                  </w:r>
                </w:p>
              </w:tc>
              <w:tc>
                <w:tcPr>
                  <w:tcW w:w="2196"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连续采样2天，每天采样4次。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exact"/>
                <w:jc w:val="center"/>
              </w:trPr>
              <w:tc>
                <w:tcPr>
                  <w:tcW w:w="803"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噪声</w:t>
                  </w:r>
                </w:p>
              </w:tc>
              <w:tc>
                <w:tcPr>
                  <w:tcW w:w="937"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w:t>
                  </w:r>
                </w:p>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噪声</w:t>
                  </w: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N1</w:t>
                  </w:r>
                </w:p>
              </w:tc>
              <w:tc>
                <w:tcPr>
                  <w:tcW w:w="2190"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厂界东</w:t>
                  </w:r>
                </w:p>
              </w:tc>
              <w:tc>
                <w:tcPr>
                  <w:tcW w:w="1862"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厂界噪声</w:t>
                  </w:r>
                </w:p>
              </w:tc>
              <w:tc>
                <w:tcPr>
                  <w:tcW w:w="2196"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连续测量两天，每天昼、夜间各测量1次。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N2</w:t>
                  </w:r>
                </w:p>
              </w:tc>
              <w:tc>
                <w:tcPr>
                  <w:tcW w:w="2190"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厂界南</w:t>
                  </w:r>
                </w:p>
              </w:tc>
              <w:tc>
                <w:tcPr>
                  <w:tcW w:w="1862" w:type="dxa"/>
                  <w:vMerge w:val="continue"/>
                  <w:vAlign w:val="center"/>
                </w:tcPr>
                <w:p>
                  <w:pPr>
                    <w:pStyle w:val="47"/>
                    <w:widowControl/>
                    <w:spacing w:after="0"/>
                  </w:pPr>
                </w:p>
              </w:tc>
              <w:tc>
                <w:tcPr>
                  <w:tcW w:w="2196" w:type="dxa"/>
                  <w:vMerge w:val="continue"/>
                  <w:vAlign w:val="center"/>
                </w:tcPr>
                <w:p>
                  <w:pPr>
                    <w:pStyle w:val="47"/>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N3</w:t>
                  </w:r>
                </w:p>
              </w:tc>
              <w:tc>
                <w:tcPr>
                  <w:tcW w:w="2190"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厂界西</w:t>
                  </w:r>
                </w:p>
              </w:tc>
              <w:tc>
                <w:tcPr>
                  <w:tcW w:w="1862" w:type="dxa"/>
                  <w:vMerge w:val="continue"/>
                  <w:vAlign w:val="center"/>
                </w:tcPr>
                <w:p>
                  <w:pPr>
                    <w:pStyle w:val="47"/>
                    <w:widowControl/>
                    <w:spacing w:after="0"/>
                  </w:pPr>
                </w:p>
              </w:tc>
              <w:tc>
                <w:tcPr>
                  <w:tcW w:w="2196" w:type="dxa"/>
                  <w:vMerge w:val="continue"/>
                  <w:vAlign w:val="center"/>
                </w:tcPr>
                <w:p>
                  <w:pPr>
                    <w:pStyle w:val="47"/>
                    <w:widowControl/>
                    <w:spacing w:after="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exact"/>
                <w:jc w:val="center"/>
              </w:trPr>
              <w:tc>
                <w:tcPr>
                  <w:tcW w:w="803" w:type="dxa"/>
                  <w:vMerge w:val="continue"/>
                  <w:vAlign w:val="center"/>
                </w:tcPr>
                <w:p>
                  <w:pPr>
                    <w:pStyle w:val="47"/>
                    <w:widowControl/>
                    <w:spacing w:after="0"/>
                    <w:rPr>
                      <w:rFonts w:hint="eastAsia" w:ascii="宋体" w:hAnsi="宋体" w:eastAsia="宋体" w:cs="宋体"/>
                      <w:sz w:val="21"/>
                      <w:szCs w:val="21"/>
                    </w:rPr>
                  </w:pPr>
                </w:p>
              </w:tc>
              <w:tc>
                <w:tcPr>
                  <w:tcW w:w="937" w:type="dxa"/>
                  <w:vMerge w:val="continue"/>
                  <w:vAlign w:val="center"/>
                </w:tcPr>
                <w:p>
                  <w:pPr>
                    <w:pStyle w:val="47"/>
                    <w:widowControl/>
                    <w:spacing w:after="0"/>
                    <w:rPr>
                      <w:rFonts w:hint="eastAsia" w:ascii="宋体" w:hAnsi="宋体" w:eastAsia="宋体" w:cs="宋体"/>
                      <w:sz w:val="21"/>
                      <w:szCs w:val="21"/>
                    </w:rPr>
                  </w:pPr>
                </w:p>
              </w:tc>
              <w:tc>
                <w:tcPr>
                  <w:tcW w:w="668" w:type="dxa"/>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N4</w:t>
                  </w:r>
                </w:p>
              </w:tc>
              <w:tc>
                <w:tcPr>
                  <w:tcW w:w="2190"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厂界北</w:t>
                  </w:r>
                </w:p>
              </w:tc>
              <w:tc>
                <w:tcPr>
                  <w:tcW w:w="1862" w:type="dxa"/>
                  <w:vMerge w:val="continue"/>
                  <w:vAlign w:val="center"/>
                </w:tcPr>
                <w:p>
                  <w:pPr>
                    <w:pStyle w:val="47"/>
                    <w:widowControl/>
                    <w:spacing w:after="0"/>
                  </w:pPr>
                </w:p>
              </w:tc>
              <w:tc>
                <w:tcPr>
                  <w:tcW w:w="2196" w:type="dxa"/>
                  <w:vMerge w:val="continue"/>
                  <w:vAlign w:val="center"/>
                </w:tcPr>
                <w:p>
                  <w:pPr>
                    <w:pStyle w:val="47"/>
                    <w:widowControl/>
                    <w:spacing w:after="0"/>
                  </w:pPr>
                </w:p>
              </w:tc>
            </w:tr>
          </w:tbl>
          <w:p>
            <w:pPr>
              <w:pStyle w:val="20"/>
              <w:keepNext w:val="0"/>
              <w:keepLines w:val="0"/>
              <w:pageBreakBefore w:val="0"/>
              <w:widowControl/>
              <w:kinsoku/>
              <w:wordWrap/>
              <w:overflowPunct/>
              <w:topLinePunct w:val="0"/>
              <w:autoSpaceDE/>
              <w:autoSpaceDN/>
              <w:bidi w:val="0"/>
              <w:adjustRightInd w:val="0"/>
              <w:snapToGrid w:val="0"/>
              <w:spacing w:before="181" w:beforeLines="50" w:after="0" w:line="240" w:lineRule="auto"/>
              <w:ind w:left="0" w:leftChars="0" w:firstLine="0" w:firstLineChars="0"/>
              <w:jc w:val="both"/>
              <w:textAlignment w:val="auto"/>
              <w:outlineLvl w:val="9"/>
              <w:rPr>
                <w:rFonts w:hint="eastAsia" w:ascii="宋体" w:hAnsi="宋体" w:eastAsia="宋体" w:cs="宋体"/>
                <w:sz w:val="24"/>
                <w:szCs w:val="24"/>
              </w:rPr>
            </w:pPr>
            <w:r>
              <w:rPr>
                <w:rFonts w:hint="eastAsia" w:eastAsia="宋体" w:cs="宋体"/>
                <w:sz w:val="24"/>
                <w:szCs w:val="24"/>
                <w:lang w:val="en-US" w:eastAsia="zh-CN"/>
              </w:rPr>
              <w:t>2、</w:t>
            </w:r>
            <w:r>
              <w:rPr>
                <w:rFonts w:hint="eastAsia" w:eastAsia="宋体" w:cs="宋体"/>
                <w:sz w:val="24"/>
                <w:szCs w:val="24"/>
                <w:lang w:eastAsia="zh-CN"/>
              </w:rPr>
              <w:t>分析方法见</w:t>
            </w:r>
            <w:r>
              <w:rPr>
                <w:rFonts w:hint="eastAsia" w:ascii="宋体" w:hAnsi="宋体" w:eastAsia="宋体" w:cs="宋体"/>
                <w:sz w:val="24"/>
                <w:szCs w:val="24"/>
              </w:rPr>
              <w:t>表6-</w:t>
            </w:r>
            <w:r>
              <w:rPr>
                <w:rFonts w:hint="eastAsia" w:eastAsia="宋体" w:cs="宋体"/>
                <w:sz w:val="24"/>
                <w:szCs w:val="24"/>
                <w:lang w:val="en-US" w:eastAsia="zh-CN"/>
              </w:rPr>
              <w:t>2</w:t>
            </w:r>
          </w:p>
          <w:p>
            <w:pPr>
              <w:pStyle w:val="20"/>
              <w:keepNext w:val="0"/>
              <w:keepLines w:val="0"/>
              <w:pageBreakBefore w:val="0"/>
              <w:widowControl/>
              <w:kinsoku/>
              <w:wordWrap/>
              <w:overflowPunct/>
              <w:topLinePunct w:val="0"/>
              <w:autoSpaceDE/>
              <w:autoSpaceDN/>
              <w:bidi w:val="0"/>
              <w:adjustRightInd w:val="0"/>
              <w:snapToGrid w:val="0"/>
              <w:spacing w:after="181" w:afterLines="50" w:line="240" w:lineRule="auto"/>
              <w:ind w:firstLine="3600" w:firstLineChars="1500"/>
              <w:jc w:val="both"/>
              <w:textAlignment w:val="auto"/>
              <w:outlineLvl w:val="9"/>
              <w:rPr>
                <w:rFonts w:hint="eastAsia" w:eastAsia="宋体"/>
                <w:lang w:eastAsia="zh-CN"/>
              </w:rPr>
            </w:pPr>
            <w:r>
              <w:rPr>
                <w:rFonts w:hint="eastAsia" w:ascii="宋体" w:hAnsi="宋体" w:eastAsia="宋体" w:cs="宋体"/>
                <w:sz w:val="24"/>
                <w:szCs w:val="24"/>
              </w:rPr>
              <w:t>表6-</w:t>
            </w:r>
            <w:r>
              <w:rPr>
                <w:rFonts w:hint="eastAsia" w:eastAsia="宋体" w:cs="宋体"/>
                <w:sz w:val="24"/>
                <w:szCs w:val="24"/>
                <w:lang w:val="en-US" w:eastAsia="zh-CN"/>
              </w:rPr>
              <w:t>2</w:t>
            </w:r>
            <w:r>
              <w:rPr>
                <w:rFonts w:hint="eastAsia" w:eastAsia="宋体" w:cs="宋体"/>
                <w:sz w:val="24"/>
                <w:szCs w:val="24"/>
                <w:lang w:eastAsia="zh-CN"/>
              </w:rPr>
              <w:t>分析方法</w:t>
            </w:r>
          </w:p>
          <w:tbl>
            <w:tblPr>
              <w:tblStyle w:val="18"/>
              <w:tblW w:w="88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374"/>
              <w:gridCol w:w="4456"/>
              <w:gridCol w:w="1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2" w:hRule="atLeast"/>
                <w:jc w:val="center"/>
              </w:trPr>
              <w:tc>
                <w:tcPr>
                  <w:tcW w:w="1060"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监测</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类别</w:t>
                  </w: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监测项目</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分析方法</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最低检出浓度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exact"/>
                <w:jc w:val="center"/>
              </w:trPr>
              <w:tc>
                <w:tcPr>
                  <w:tcW w:w="1060"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无组织</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废气</w:t>
                  </w: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hint="eastAsia" w:ascii="宋体" w:hAnsi="宋体" w:eastAsia="宋体" w:cs="宋体"/>
                      <w:kern w:val="0"/>
                      <w:sz w:val="21"/>
                      <w:szCs w:val="21"/>
                      <w:vertAlign w:val="baseline"/>
                      <w:lang w:val="en-US" w:eastAsia="zh-CN"/>
                    </w:rPr>
                  </w:pPr>
                  <w:r>
                    <w:rPr>
                      <w:rFonts w:hint="eastAsia" w:ascii="宋体" w:hAnsi="宋体" w:eastAsia="宋体" w:cs="宋体"/>
                      <w:kern w:val="0"/>
                      <w:sz w:val="21"/>
                      <w:szCs w:val="21"/>
                      <w:vertAlign w:val="baseline"/>
                      <w:lang w:val="en-US" w:eastAsia="zh-CN"/>
                    </w:rPr>
                    <w:t>非甲烷</w:t>
                  </w:r>
                </w:p>
                <w:p>
                  <w:pPr>
                    <w:keepNext w:val="0"/>
                    <w:keepLines w:val="0"/>
                    <w:pageBreakBefore w:val="0"/>
                    <w:widowControl/>
                    <w:numPr>
                      <w:ilvl w:val="0"/>
                      <w:numId w:val="0"/>
                    </w:numPr>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hint="eastAsia" w:ascii="宋体" w:hAnsi="宋体" w:eastAsia="宋体" w:cs="宋体"/>
                      <w:color w:val="auto"/>
                      <w:kern w:val="0"/>
                      <w:sz w:val="21"/>
                      <w:szCs w:val="21"/>
                      <w:vertAlign w:val="baseline"/>
                      <w:lang w:val="en-US" w:eastAsia="zh-CN"/>
                    </w:rPr>
                  </w:pPr>
                  <w:r>
                    <w:rPr>
                      <w:rFonts w:hint="eastAsia" w:ascii="宋体" w:hAnsi="宋体" w:eastAsia="宋体" w:cs="宋体"/>
                      <w:kern w:val="0"/>
                      <w:sz w:val="21"/>
                      <w:szCs w:val="21"/>
                      <w:vertAlign w:val="baseline"/>
                      <w:lang w:val="en-US" w:eastAsia="zh-CN"/>
                    </w:rPr>
                    <w:t>总烃</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气相色谱法 HJ/T38-1999</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kern w:val="0"/>
                      <w:sz w:val="21"/>
                      <w:szCs w:val="21"/>
                      <w:vertAlign w:val="baseline"/>
                      <w:lang w:val="en-US" w:eastAsia="zh-CN"/>
                    </w:rPr>
                    <w:t>0.04mg/m³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restart"/>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废水</w:t>
                  </w: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pH</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玻璃电极法GB/T6920-1986</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0.01（无量纲）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悬浮物</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重量法GB11901-89</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1" w:hRule="exact"/>
                <w:jc w:val="center"/>
              </w:trPr>
              <w:tc>
                <w:tcPr>
                  <w:tcW w:w="1060"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化学需</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氧量</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重铬酸盐法HJ828-2017</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7" w:hRule="exact"/>
                <w:jc w:val="center"/>
              </w:trPr>
              <w:tc>
                <w:tcPr>
                  <w:tcW w:w="1060"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五日生化需氧量</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稀释与接种法HJ505-2009</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石油类</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红外分光光度法HJ637-2012</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60" w:type="dxa"/>
                  <w:vMerge w:val="continue"/>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氨氮</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纳氏试剂分光光度法HJ535-2009</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3" w:hRule="exact"/>
                <w:jc w:val="center"/>
              </w:trPr>
              <w:tc>
                <w:tcPr>
                  <w:tcW w:w="1060"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噪声</w:t>
                  </w:r>
                </w:p>
              </w:tc>
              <w:tc>
                <w:tcPr>
                  <w:tcW w:w="1374"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厂界噪声</w:t>
                  </w:r>
                </w:p>
              </w:tc>
              <w:tc>
                <w:tcPr>
                  <w:tcW w:w="4456"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spacing w:val="-20"/>
                      <w:kern w:val="0"/>
                      <w:sz w:val="21"/>
                      <w:szCs w:val="21"/>
                      <w:vertAlign w:val="baseline"/>
                      <w:lang w:val="en-US" w:eastAsia="zh-CN"/>
                    </w:rPr>
                    <w:t>《工业企业厂界环境噪声排放标准》(GB12348-2008)</w:t>
                  </w:r>
                </w:p>
              </w:tc>
              <w:tc>
                <w:tcPr>
                  <w:tcW w:w="1969" w:type="dxa"/>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after="0" w:line="240" w:lineRule="auto"/>
                    <w:jc w:val="center"/>
                    <w:textAlignment w:val="auto"/>
                    <w:outlineLvl w:val="9"/>
                    <w:rPr>
                      <w:rFonts w:hint="eastAsia" w:ascii="宋体" w:hAnsi="宋体" w:eastAsia="宋体" w:cs="宋体"/>
                      <w:color w:val="auto"/>
                      <w:kern w:val="0"/>
                      <w:sz w:val="21"/>
                      <w:szCs w:val="21"/>
                      <w:vertAlign w:val="baseline"/>
                      <w:lang w:val="en-US" w:eastAsia="zh-CN"/>
                    </w:rPr>
                  </w:pPr>
                  <w:r>
                    <w:rPr>
                      <w:rFonts w:hint="eastAsia" w:ascii="宋体" w:hAnsi="宋体" w:eastAsia="宋体" w:cs="宋体"/>
                      <w:color w:val="auto"/>
                      <w:kern w:val="0"/>
                      <w:sz w:val="21"/>
                      <w:szCs w:val="21"/>
                      <w:vertAlign w:val="baseline"/>
                      <w:lang w:val="en-US" w:eastAsia="zh-CN"/>
                    </w:rPr>
                    <w:t>--</w:t>
                  </w:r>
                </w:p>
              </w:tc>
            </w:tr>
          </w:tbl>
          <w:p>
            <w:pPr>
              <w:pStyle w:val="7"/>
            </w:pPr>
          </w:p>
        </w:tc>
      </w:tr>
    </w:tbl>
    <w:p>
      <w:pPr>
        <w:spacing w:line="360" w:lineRule="auto"/>
        <w:rPr>
          <w:rFonts w:eastAsia="仿宋_GB2312"/>
          <w:color w:val="000000"/>
          <w:sz w:val="21"/>
          <w:szCs w:val="21"/>
        </w:rPr>
      </w:pPr>
    </w:p>
    <w:p>
      <w:pPr>
        <w:spacing w:after="0" w:line="360" w:lineRule="auto"/>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32"/>
          <w:szCs w:val="32"/>
        </w:rPr>
      </w:pPr>
      <w:bookmarkStart w:id="18" w:name="_Toc26110_WPSOffice_Level2"/>
      <w:r>
        <w:rPr>
          <w:rFonts w:hint="eastAsia" w:ascii="宋体" w:hAnsi="宋体" w:eastAsia="宋体" w:cs="宋体"/>
          <w:b/>
          <w:color w:val="000000"/>
          <w:sz w:val="32"/>
          <w:szCs w:val="32"/>
        </w:rPr>
        <w:t>表七  验收监测结果</w:t>
      </w:r>
      <w:bookmarkEnd w:id="18"/>
    </w:p>
    <w:tbl>
      <w:tblPr>
        <w:tblStyle w:val="18"/>
        <w:tblW w:w="10549" w:type="dxa"/>
        <w:jc w:val="center"/>
        <w:tblInd w:w="-1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0549" w:type="dxa"/>
          </w:tcPr>
          <w:p>
            <w:pPr>
              <w:keepNext w:val="0"/>
              <w:keepLines w:val="0"/>
              <w:pageBreakBefore w:val="0"/>
              <w:widowControl/>
              <w:kinsoku/>
              <w:wordWrap/>
              <w:overflowPunct/>
              <w:topLinePunct w:val="0"/>
              <w:autoSpaceDE/>
              <w:autoSpaceDN/>
              <w:bidi w:val="0"/>
              <w:adjustRightInd w:val="0"/>
              <w:snapToGrid w:val="0"/>
              <w:spacing w:before="181" w:beforeLines="50" w:after="0" w:line="360" w:lineRule="auto"/>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验收监测期间生产工况记录：</w:t>
            </w:r>
          </w:p>
          <w:p>
            <w:pPr>
              <w:spacing w:after="0" w:line="360" w:lineRule="auto"/>
              <w:ind w:firstLine="480" w:firstLineChars="200"/>
              <w:rPr>
                <w:rFonts w:eastAsia="仿宋_GB2312"/>
                <w:color w:val="000000"/>
                <w:sz w:val="21"/>
                <w:szCs w:val="21"/>
              </w:rPr>
            </w:pPr>
            <w:r>
              <w:rPr>
                <w:rFonts w:hint="eastAsia" w:ascii="宋体" w:hAnsi="宋体" w:eastAsia="宋体" w:cs="宋体"/>
                <w:color w:val="000000"/>
                <w:sz w:val="24"/>
                <w:szCs w:val="24"/>
              </w:rPr>
              <w:t>中国石化销售有限公司贵州黔西南石油分公司晴隆油库建设项目，设计储存</w:t>
            </w:r>
            <w:r>
              <w:rPr>
                <w:rFonts w:hint="eastAsia" w:ascii="宋体" w:hAnsi="宋体" w:eastAsia="宋体" w:cs="宋体"/>
                <w:color w:val="000000"/>
                <w:sz w:val="24"/>
                <w:szCs w:val="24"/>
                <w:lang w:eastAsia="zh-CN"/>
              </w:rPr>
              <w:t>量</w:t>
            </w:r>
            <w:r>
              <w:rPr>
                <w:rFonts w:hint="eastAsia" w:ascii="宋体" w:hAnsi="宋体" w:eastAsia="宋体" w:cs="宋体"/>
                <w:color w:val="000000"/>
                <w:sz w:val="24"/>
                <w:szCs w:val="24"/>
              </w:rPr>
              <w:t>12000m³，验收期间</w:t>
            </w:r>
            <w:r>
              <w:rPr>
                <w:rFonts w:hint="eastAsia" w:ascii="宋体" w:hAnsi="宋体" w:eastAsia="宋体" w:cs="宋体"/>
                <w:color w:val="000000"/>
                <w:sz w:val="24"/>
                <w:szCs w:val="24"/>
                <w:lang w:eastAsia="zh-CN"/>
              </w:rPr>
              <w:t>储存量为</w:t>
            </w: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0000</w:t>
            </w:r>
            <w:r>
              <w:rPr>
                <w:rFonts w:hint="eastAsia" w:ascii="宋体" w:hAnsi="宋体" w:eastAsia="宋体" w:cs="宋体"/>
                <w:color w:val="000000"/>
                <w:sz w:val="24"/>
                <w:szCs w:val="24"/>
              </w:rPr>
              <w:t>m³，</w:t>
            </w:r>
            <w:r>
              <w:rPr>
                <w:rFonts w:hint="eastAsia" w:ascii="宋体" w:hAnsi="宋体" w:eastAsia="宋体" w:cs="宋体"/>
                <w:color w:val="000000"/>
                <w:sz w:val="24"/>
                <w:szCs w:val="24"/>
                <w:lang w:eastAsia="zh-CN"/>
              </w:rPr>
              <w:t>储存</w:t>
            </w:r>
            <w:r>
              <w:rPr>
                <w:rFonts w:hint="eastAsia" w:ascii="宋体" w:hAnsi="宋体" w:eastAsia="宋体" w:cs="宋体"/>
                <w:color w:val="000000"/>
                <w:sz w:val="24"/>
                <w:szCs w:val="24"/>
              </w:rPr>
              <w:t>负荷</w:t>
            </w:r>
            <w:r>
              <w:rPr>
                <w:rFonts w:hint="eastAsia" w:ascii="宋体" w:hAnsi="宋体" w:eastAsia="宋体" w:cs="宋体"/>
                <w:color w:val="000000"/>
                <w:sz w:val="24"/>
                <w:szCs w:val="24"/>
                <w:lang w:val="en-US" w:eastAsia="zh-CN"/>
              </w:rPr>
              <w:t>83</w:t>
            </w:r>
            <w:r>
              <w:rPr>
                <w:rFonts w:hint="eastAsia" w:ascii="宋体" w:hAnsi="宋体" w:eastAsia="宋体" w:cs="宋体"/>
                <w:color w:val="000000"/>
                <w:sz w:val="24"/>
                <w:szCs w:val="24"/>
              </w:rPr>
              <w:t>%，在验收检测期间</w:t>
            </w:r>
            <w:r>
              <w:rPr>
                <w:rFonts w:hint="eastAsia" w:ascii="宋体" w:hAnsi="宋体" w:eastAsia="宋体" w:cs="宋体"/>
                <w:color w:val="000000"/>
                <w:sz w:val="24"/>
                <w:szCs w:val="24"/>
                <w:lang w:eastAsia="zh-CN"/>
              </w:rPr>
              <w:t>项目</w:t>
            </w:r>
            <w:r>
              <w:rPr>
                <w:rFonts w:hint="eastAsia" w:ascii="宋体" w:hAnsi="宋体" w:eastAsia="宋体" w:cs="宋体"/>
                <w:color w:val="000000"/>
                <w:sz w:val="24"/>
                <w:szCs w:val="24"/>
              </w:rPr>
              <w:t>设备和环保设施运行正常。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83" w:hRule="atLeast"/>
          <w:jc w:val="center"/>
        </w:trPr>
        <w:tc>
          <w:tcPr>
            <w:tcW w:w="10549" w:type="dxa"/>
          </w:tcPr>
          <w:p>
            <w:pPr>
              <w:keepNext w:val="0"/>
              <w:keepLines w:val="0"/>
              <w:pageBreakBefore w:val="0"/>
              <w:widowControl/>
              <w:kinsoku/>
              <w:wordWrap/>
              <w:overflowPunct/>
              <w:topLinePunct w:val="0"/>
              <w:autoSpaceDE/>
              <w:autoSpaceDN/>
              <w:bidi w:val="0"/>
              <w:adjustRightInd w:val="0"/>
              <w:snapToGrid w:val="0"/>
              <w:spacing w:before="181" w:beforeLines="50" w:after="0" w:line="360" w:lineRule="auto"/>
              <w:textAlignment w:val="auto"/>
              <w:outlineLvl w:val="9"/>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验收监测结果：</w:t>
            </w:r>
          </w:p>
          <w:p>
            <w:pPr>
              <w:pStyle w:val="46"/>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2018年7月8日遵义市产品质量检验检测院对项目有组织废气（油气）进行检测；贵州省洪鑫环境检测服务有限公司</w:t>
            </w:r>
            <w:r>
              <w:rPr>
                <w:rFonts w:hint="eastAsia" w:ascii="宋体" w:hAnsi="宋体" w:eastAsia="宋体" w:cs="宋体"/>
                <w:sz w:val="24"/>
                <w:szCs w:val="24"/>
              </w:rPr>
              <w:t>2018年</w:t>
            </w:r>
            <w:r>
              <w:rPr>
                <w:rFonts w:hint="eastAsia" w:ascii="宋体" w:hAnsi="宋体" w:eastAsia="宋体" w:cs="宋体"/>
                <w:sz w:val="24"/>
                <w:szCs w:val="24"/>
                <w:lang w:val="en-US" w:eastAsia="zh-CN"/>
              </w:rPr>
              <w:t>8</w:t>
            </w:r>
            <w:r>
              <w:rPr>
                <w:rFonts w:hint="eastAsia" w:ascii="宋体" w:hAnsi="宋体" w:eastAsia="宋体" w:cs="宋体"/>
                <w:sz w:val="24"/>
                <w:szCs w:val="24"/>
              </w:rPr>
              <w:t>月</w:t>
            </w:r>
            <w:r>
              <w:rPr>
                <w:rFonts w:hint="eastAsia" w:ascii="宋体" w:hAnsi="宋体" w:eastAsia="宋体" w:cs="宋体"/>
                <w:sz w:val="24"/>
                <w:szCs w:val="24"/>
                <w:lang w:val="en-US" w:eastAsia="zh-CN"/>
              </w:rPr>
              <w:t>9</w:t>
            </w:r>
            <w:r>
              <w:rPr>
                <w:rFonts w:hint="eastAsia" w:ascii="宋体" w:hAnsi="宋体" w:eastAsia="宋体" w:cs="宋体"/>
                <w:sz w:val="24"/>
                <w:szCs w:val="24"/>
              </w:rPr>
              <w:t>-</w:t>
            </w:r>
            <w:r>
              <w:rPr>
                <w:rFonts w:hint="eastAsia" w:ascii="宋体" w:hAnsi="宋体" w:eastAsia="宋体" w:cs="宋体"/>
                <w:sz w:val="24"/>
                <w:szCs w:val="24"/>
                <w:lang w:val="en-US" w:eastAsia="zh-CN"/>
              </w:rPr>
              <w:t>10</w:t>
            </w:r>
            <w:r>
              <w:rPr>
                <w:rFonts w:hint="eastAsia" w:ascii="宋体" w:hAnsi="宋体" w:eastAsia="宋体" w:cs="宋体"/>
                <w:sz w:val="24"/>
                <w:szCs w:val="24"/>
              </w:rPr>
              <w:t>日对</w:t>
            </w:r>
            <w:r>
              <w:rPr>
                <w:rFonts w:hint="eastAsia" w:ascii="宋体" w:hAnsi="宋体" w:eastAsia="宋体" w:cs="宋体"/>
                <w:sz w:val="24"/>
                <w:szCs w:val="24"/>
                <w:lang w:eastAsia="zh-CN"/>
              </w:rPr>
              <w:t>项目</w:t>
            </w:r>
            <w:r>
              <w:rPr>
                <w:rFonts w:hint="eastAsia" w:ascii="宋体" w:hAnsi="宋体" w:eastAsia="宋体" w:cs="宋体"/>
                <w:sz w:val="24"/>
                <w:szCs w:val="24"/>
              </w:rPr>
              <w:t>无组织废气、噪声进行检测</w:t>
            </w:r>
            <w:r>
              <w:rPr>
                <w:rFonts w:hint="eastAsia" w:ascii="宋体" w:hAnsi="宋体" w:eastAsia="宋体" w:cs="宋体"/>
                <w:sz w:val="24"/>
                <w:szCs w:val="24"/>
                <w:lang w:eastAsia="zh-CN"/>
              </w:rPr>
              <w:t>；由于隔油池废水处理设备故障</w:t>
            </w:r>
            <w:r>
              <w:rPr>
                <w:rFonts w:hint="eastAsia" w:ascii="宋体" w:hAnsi="宋体" w:eastAsia="宋体" w:cs="宋体"/>
                <w:sz w:val="24"/>
                <w:szCs w:val="24"/>
              </w:rPr>
              <w:t>，于2018年</w:t>
            </w:r>
            <w:r>
              <w:rPr>
                <w:rFonts w:hint="eastAsia" w:ascii="宋体" w:hAnsi="宋体" w:eastAsia="宋体" w:cs="宋体"/>
                <w:sz w:val="24"/>
                <w:szCs w:val="24"/>
                <w:lang w:val="en-US" w:eastAsia="zh-CN"/>
              </w:rPr>
              <w:t>9</w:t>
            </w:r>
            <w:r>
              <w:rPr>
                <w:rFonts w:hint="eastAsia" w:ascii="宋体" w:hAnsi="宋体" w:eastAsia="宋体" w:cs="宋体"/>
                <w:sz w:val="24"/>
                <w:szCs w:val="24"/>
              </w:rPr>
              <w:t>月</w:t>
            </w:r>
            <w:r>
              <w:rPr>
                <w:rFonts w:hint="eastAsia" w:ascii="宋体" w:hAnsi="宋体" w:eastAsia="宋体" w:cs="宋体"/>
                <w:sz w:val="24"/>
                <w:szCs w:val="24"/>
                <w:lang w:val="en-US" w:eastAsia="zh-CN"/>
              </w:rPr>
              <w:t>4-5</w:t>
            </w:r>
            <w:r>
              <w:rPr>
                <w:rFonts w:hint="eastAsia" w:ascii="宋体" w:hAnsi="宋体" w:eastAsia="宋体" w:cs="宋体"/>
                <w:sz w:val="24"/>
                <w:szCs w:val="24"/>
              </w:rPr>
              <w:t>日对</w:t>
            </w:r>
            <w:r>
              <w:rPr>
                <w:rFonts w:hint="eastAsia" w:ascii="宋体" w:hAnsi="宋体" w:eastAsia="宋体" w:cs="宋体"/>
                <w:sz w:val="24"/>
                <w:szCs w:val="24"/>
                <w:lang w:eastAsia="zh-CN"/>
              </w:rPr>
              <w:t>隔油池废水进行补采，检测结果如下：</w:t>
            </w:r>
          </w:p>
          <w:p>
            <w:pPr>
              <w:pStyle w:val="46"/>
              <w:keepNext w:val="0"/>
              <w:keepLines w:val="0"/>
              <w:pageBreakBefore w:val="0"/>
              <w:widowControl/>
              <w:numPr>
                <w:ilvl w:val="0"/>
                <w:numId w:val="4"/>
              </w:numPr>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有组织废气（油气）监测结果见表7-1。</w:t>
            </w:r>
          </w:p>
          <w:p>
            <w:pPr>
              <w:pStyle w:val="46"/>
              <w:keepNext w:val="0"/>
              <w:keepLines w:val="0"/>
              <w:pageBreakBefore w:val="0"/>
              <w:widowControl/>
              <w:numPr>
                <w:ilvl w:val="0"/>
                <w:numId w:val="4"/>
              </w:numPr>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油水分离池废水排口监测结果见表7-2。</w:t>
            </w:r>
          </w:p>
          <w:p>
            <w:pPr>
              <w:pStyle w:val="46"/>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（3）无组织废气监测结果见表7-3。</w:t>
            </w:r>
          </w:p>
          <w:p>
            <w:pPr>
              <w:pStyle w:val="46"/>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（4）厂界噪声测量结果见表7-4。</w:t>
            </w:r>
          </w:p>
          <w:p>
            <w:pPr>
              <w:pStyle w:val="20"/>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480"/>
              <w:jc w:val="center"/>
              <w:textAlignment w:val="auto"/>
              <w:outlineLvl w:val="9"/>
              <w:rPr>
                <w:rFonts w:hint="eastAsia" w:eastAsia="宋体"/>
                <w:b/>
                <w:bCs/>
                <w:color w:val="000000"/>
                <w:szCs w:val="21"/>
              </w:rPr>
            </w:pPr>
            <w:r>
              <w:rPr>
                <w:rFonts w:hint="eastAsia" w:eastAsia="宋体"/>
                <w:b/>
                <w:bCs/>
              </w:rPr>
              <w:t>表7-</w:t>
            </w:r>
            <w:r>
              <w:rPr>
                <w:rFonts w:hint="eastAsia" w:eastAsia="宋体"/>
                <w:b/>
                <w:bCs/>
                <w:lang w:val="en-US" w:eastAsia="zh-CN"/>
              </w:rPr>
              <w:t>1</w:t>
            </w:r>
            <w:r>
              <w:rPr>
                <w:rFonts w:hint="eastAsia" w:eastAsia="宋体"/>
                <w:b/>
                <w:bCs/>
                <w:lang w:eastAsia="zh-CN"/>
              </w:rPr>
              <w:t>有</w:t>
            </w:r>
            <w:r>
              <w:rPr>
                <w:rFonts w:hint="eastAsia" w:eastAsia="宋体"/>
                <w:b/>
                <w:bCs/>
                <w:color w:val="000000"/>
                <w:szCs w:val="21"/>
              </w:rPr>
              <w:t>组织废气</w:t>
            </w:r>
            <w:r>
              <w:rPr>
                <w:rFonts w:hint="eastAsia" w:eastAsia="宋体"/>
                <w:b/>
                <w:bCs/>
                <w:color w:val="000000"/>
                <w:szCs w:val="21"/>
                <w:lang w:eastAsia="zh-CN"/>
              </w:rPr>
              <w:t>（油气）</w:t>
            </w:r>
            <w:r>
              <w:rPr>
                <w:rFonts w:hint="eastAsia" w:eastAsia="宋体"/>
                <w:b/>
                <w:bCs/>
                <w:color w:val="000000"/>
                <w:szCs w:val="21"/>
              </w:rPr>
              <w:t>检测结果</w:t>
            </w:r>
          </w:p>
          <w:tbl>
            <w:tblPr>
              <w:tblStyle w:val="19"/>
              <w:tblW w:w="1033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2"/>
              <w:gridCol w:w="1722"/>
              <w:gridCol w:w="1722"/>
              <w:gridCol w:w="1722"/>
              <w:gridCol w:w="1722"/>
              <w:gridCol w:w="1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3" w:hRule="atLeast"/>
                <w:jc w:val="center"/>
              </w:trPr>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处理装</w:t>
                  </w:r>
                </w:p>
                <w:p>
                  <w:pPr>
                    <w:pStyle w:val="7"/>
                    <w:keepNext w:val="0"/>
                    <w:keepLines w:val="0"/>
                    <w:pageBreakBefore w:val="0"/>
                    <w:widowControl/>
                    <w:kinsoku/>
                    <w:wordWrap/>
                    <w:overflowPunct/>
                    <w:topLinePunct w:val="0"/>
                    <w:autoSpaceDE/>
                    <w:autoSpaceDN/>
                    <w:bidi w:val="0"/>
                    <w:adjustRightInd w:val="0"/>
                    <w:snapToGrid w:val="0"/>
                    <w:spacing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置编号</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采集样</w:t>
                  </w:r>
                </w:p>
                <w:p>
                  <w:pPr>
                    <w:pStyle w:val="7"/>
                    <w:keepNext w:val="0"/>
                    <w:keepLines w:val="0"/>
                    <w:pageBreakBefore w:val="0"/>
                    <w:widowControl/>
                    <w:kinsoku/>
                    <w:wordWrap/>
                    <w:overflowPunct/>
                    <w:topLinePunct w:val="0"/>
                    <w:autoSpaceDE/>
                    <w:autoSpaceDN/>
                    <w:bidi w:val="0"/>
                    <w:adjustRightInd w:val="0"/>
                    <w:snapToGrid w:val="0"/>
                    <w:spacing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品编号</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油气排放浓度检测结果</w:t>
                  </w:r>
                  <w:r>
                    <w:rPr>
                      <w:rFonts w:hint="default" w:ascii="Times New Roman" w:hAnsi="Times New Roman" w:eastAsia="宋体" w:cs="Times New Roman"/>
                      <w:sz w:val="21"/>
                      <w:szCs w:val="21"/>
                      <w:vertAlign w:val="baseline"/>
                      <w:lang w:eastAsia="zh-CN"/>
                    </w:rPr>
                    <w:t>（</w:t>
                  </w:r>
                  <w:r>
                    <w:rPr>
                      <w:rFonts w:hint="default" w:ascii="Times New Roman" w:hAnsi="Times New Roman" w:eastAsia="宋体" w:cs="Times New Roman"/>
                      <w:sz w:val="21"/>
                      <w:szCs w:val="21"/>
                      <w:vertAlign w:val="baseline"/>
                      <w:lang w:val="en-US" w:eastAsia="zh-CN"/>
                    </w:rPr>
                    <w:t>g/m³</w:t>
                  </w:r>
                  <w:r>
                    <w:rPr>
                      <w:rFonts w:hint="default" w:ascii="Times New Roman" w:hAnsi="Times New Roman" w:eastAsia="宋体" w:cs="Times New Roman"/>
                      <w:sz w:val="21"/>
                      <w:szCs w:val="21"/>
                      <w:vertAlign w:val="baseline"/>
                      <w:lang w:eastAsia="zh-CN"/>
                    </w:rPr>
                    <w:t>）</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油气排放浓度检测结果平均值</w:t>
                  </w:r>
                  <w:r>
                    <w:rPr>
                      <w:rFonts w:hint="default" w:ascii="Times New Roman" w:hAnsi="Times New Roman" w:eastAsia="宋体" w:cs="Times New Roman"/>
                      <w:sz w:val="21"/>
                      <w:szCs w:val="21"/>
                      <w:vertAlign w:val="baseline"/>
                      <w:lang w:eastAsia="zh-CN"/>
                    </w:rPr>
                    <w:t>（</w:t>
                  </w:r>
                  <w:r>
                    <w:rPr>
                      <w:rFonts w:hint="default" w:ascii="Times New Roman" w:hAnsi="Times New Roman" w:eastAsia="宋体" w:cs="Times New Roman"/>
                      <w:sz w:val="21"/>
                      <w:szCs w:val="21"/>
                      <w:vertAlign w:val="baseline"/>
                      <w:lang w:val="en-US" w:eastAsia="zh-CN"/>
                    </w:rPr>
                    <w:t>g/m³</w:t>
                  </w:r>
                  <w:r>
                    <w:rPr>
                      <w:rFonts w:hint="default" w:ascii="Times New Roman" w:hAnsi="Times New Roman" w:eastAsia="宋体" w:cs="Times New Roman"/>
                      <w:sz w:val="21"/>
                      <w:szCs w:val="21"/>
                      <w:vertAlign w:val="baseline"/>
                      <w:lang w:eastAsia="zh-CN"/>
                    </w:rPr>
                    <w:t>）</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油气处理效率检测结果</w:t>
                  </w:r>
                  <w:r>
                    <w:rPr>
                      <w:rFonts w:hint="default" w:ascii="Times New Roman" w:hAnsi="Times New Roman" w:eastAsia="宋体" w:cs="Times New Roman"/>
                      <w:sz w:val="21"/>
                      <w:szCs w:val="21"/>
                      <w:vertAlign w:val="baseline"/>
                      <w:lang w:eastAsia="zh-CN"/>
                    </w:rPr>
                    <w:t>（</w:t>
                  </w:r>
                  <w:r>
                    <w:rPr>
                      <w:rFonts w:hint="default" w:ascii="Times New Roman" w:hAnsi="Times New Roman" w:eastAsia="宋体" w:cs="Times New Roman"/>
                      <w:sz w:val="21"/>
                      <w:szCs w:val="21"/>
                      <w:vertAlign w:val="baseline"/>
                      <w:lang w:val="en-US" w:eastAsia="zh-CN"/>
                    </w:rPr>
                    <w:t>%</w:t>
                  </w:r>
                  <w:r>
                    <w:rPr>
                      <w:rFonts w:hint="default" w:ascii="Times New Roman" w:hAnsi="Times New Roman" w:eastAsia="宋体" w:cs="Times New Roman"/>
                      <w:sz w:val="21"/>
                      <w:szCs w:val="21"/>
                      <w:vertAlign w:val="baseline"/>
                      <w:lang w:eastAsia="zh-CN"/>
                    </w:rPr>
                    <w:t>）</w:t>
                  </w:r>
                </w:p>
              </w:tc>
              <w:tc>
                <w:tcPr>
                  <w:tcW w:w="1723" w:type="dxa"/>
                </w:tcPr>
                <w:p>
                  <w:pPr>
                    <w:pStyle w:val="7"/>
                    <w:keepNext w:val="0"/>
                    <w:keepLines w:val="0"/>
                    <w:pageBreakBefore w:val="0"/>
                    <w:widowControl/>
                    <w:kinsoku/>
                    <w:wordWrap/>
                    <w:overflowPunct/>
                    <w:topLinePunct w:val="0"/>
                    <w:autoSpaceDE/>
                    <w:autoSpaceDN/>
                    <w:bidi w:val="0"/>
                    <w:adjustRightInd w:val="0"/>
                    <w:snapToGrid w:val="0"/>
                    <w:spacing w:before="181" w:after="0" w:line="360" w:lineRule="auto"/>
                    <w:ind w:firstLine="0" w:firstLineChars="0"/>
                    <w:jc w:val="center"/>
                    <w:textAlignment w:val="auto"/>
                    <w:outlineLvl w:val="9"/>
                    <w:rPr>
                      <w:rFonts w:hint="eastAsia" w:ascii="宋体" w:hAnsi="宋体" w:eastAsia="宋体" w:cs="宋体"/>
                      <w:sz w:val="21"/>
                      <w:szCs w:val="21"/>
                      <w:vertAlign w:val="baseline"/>
                    </w:rPr>
                  </w:pPr>
                  <w:r>
                    <w:rPr>
                      <w:rFonts w:hint="eastAsia" w:ascii="宋体" w:hAnsi="宋体" w:eastAsia="宋体" w:cs="宋体"/>
                      <w:sz w:val="21"/>
                      <w:szCs w:val="21"/>
                      <w:vertAlign w:val="baseline"/>
                      <w:lang w:eastAsia="zh-CN"/>
                    </w:rPr>
                    <w:t>油气处理效率检测结果平均值</w:t>
                  </w:r>
                  <w:r>
                    <w:rPr>
                      <w:rFonts w:hint="default" w:ascii="Times New Roman" w:hAnsi="Times New Roman" w:eastAsia="宋体" w:cs="Times New Roman"/>
                      <w:sz w:val="21"/>
                      <w:szCs w:val="21"/>
                      <w:vertAlign w:val="baseline"/>
                      <w:lang w:eastAsia="zh-CN"/>
                    </w:rPr>
                    <w:t>（</w:t>
                  </w:r>
                  <w:r>
                    <w:rPr>
                      <w:rFonts w:hint="default" w:ascii="Times New Roman" w:hAnsi="Times New Roman" w:eastAsia="宋体" w:cs="Times New Roman"/>
                      <w:sz w:val="21"/>
                      <w:szCs w:val="21"/>
                      <w:vertAlign w:val="baseline"/>
                      <w:lang w:val="en-US" w:eastAsia="zh-CN"/>
                    </w:rPr>
                    <w:t>%</w:t>
                  </w:r>
                  <w:r>
                    <w:rPr>
                      <w:rFonts w:hint="default" w:ascii="Times New Roman" w:hAnsi="Times New Roman" w:eastAsia="宋体" w:cs="Times New Roman"/>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atLeast"/>
                <w:jc w:val="center"/>
              </w:trPr>
              <w:tc>
                <w:tcPr>
                  <w:tcW w:w="1722" w:type="dxa"/>
                  <w:vMerge w:val="restart"/>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exact"/>
                    <w:ind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exact"/>
                    <w:ind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3.48</w:t>
                  </w:r>
                </w:p>
              </w:tc>
              <w:tc>
                <w:tcPr>
                  <w:tcW w:w="1722" w:type="dxa"/>
                  <w:vMerge w:val="restart"/>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atLeast"/>
                    <w:ind w:firstLine="0" w:firstLineChars="0"/>
                    <w:jc w:val="center"/>
                    <w:textAlignment w:val="auto"/>
                    <w:outlineLvl w:val="9"/>
                    <w:rPr>
                      <w:rFonts w:hint="eastAsia" w:ascii="宋体" w:hAnsi="宋体" w:eastAsia="宋体" w:cs="宋体"/>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3.43</w:t>
                  </w: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tLeast"/>
                    <w:ind w:firstLine="0" w:firstLineChars="0"/>
                    <w:jc w:val="center"/>
                    <w:textAlignment w:val="auto"/>
                    <w:outlineLvl w:val="9"/>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723" w:type="dxa"/>
                  <w:vMerge w:val="restart"/>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atLeast"/>
                    <w:ind w:firstLine="0" w:firstLineChars="0"/>
                    <w:jc w:val="center"/>
                    <w:textAlignment w:val="auto"/>
                    <w:outlineLvl w:val="9"/>
                    <w:rPr>
                      <w:rFonts w:hint="eastAsia" w:ascii="宋体" w:hAnsi="宋体" w:eastAsia="宋体" w:cs="宋体"/>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6" w:hRule="atLeast"/>
                <w:jc w:val="center"/>
              </w:trPr>
              <w:tc>
                <w:tcPr>
                  <w:tcW w:w="1722"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left"/>
                    <w:textAlignment w:val="auto"/>
                    <w:outlineLvl w:val="9"/>
                    <w:rPr>
                      <w:rFonts w:hint="eastAsia" w:ascii="宋体" w:hAnsi="宋体" w:eastAsia="宋体" w:cs="宋体"/>
                      <w:sz w:val="21"/>
                      <w:szCs w:val="21"/>
                      <w:vertAlign w:val="baseline"/>
                    </w:rPr>
                  </w:pP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exact"/>
                    <w:ind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p>
              </w:tc>
              <w:tc>
                <w:tcPr>
                  <w:tcW w:w="1722"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exact"/>
                    <w:jc w:val="center"/>
                    <w:textAlignment w:val="auto"/>
                    <w:outlineLvl w:val="9"/>
                    <w:rPr>
                      <w:rFonts w:hint="default" w:ascii="Times New Roman" w:hAnsi="Times New Roman" w:eastAsia="微软雅黑" w:cs="Times New Roman"/>
                      <w:sz w:val="21"/>
                      <w:szCs w:val="21"/>
                      <w:lang w:val="en-US" w:eastAsia="zh-CN"/>
                    </w:rPr>
                  </w:pPr>
                  <w:r>
                    <w:rPr>
                      <w:rFonts w:hint="eastAsia" w:ascii="Times New Roman" w:hAnsi="Times New Roman" w:cs="Times New Roman"/>
                      <w:sz w:val="21"/>
                      <w:szCs w:val="21"/>
                      <w:lang w:val="en-US" w:eastAsia="zh-CN"/>
                    </w:rPr>
                    <w:t>3.19</w:t>
                  </w:r>
                </w:p>
              </w:tc>
              <w:tc>
                <w:tcPr>
                  <w:tcW w:w="1722"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eastAsia" w:ascii="宋体" w:hAnsi="宋体" w:eastAsia="宋体" w:cs="宋体"/>
                      <w:sz w:val="21"/>
                      <w:szCs w:val="21"/>
                      <w:vertAlign w:val="baseline"/>
                    </w:rPr>
                  </w:pP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tLeast"/>
                    <w:ind w:firstLine="0" w:firstLineChars="0"/>
                    <w:jc w:val="center"/>
                    <w:textAlignment w:val="auto"/>
                    <w:outlineLvl w:val="9"/>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723"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6" w:hRule="atLeast"/>
                <w:jc w:val="center"/>
              </w:trPr>
              <w:tc>
                <w:tcPr>
                  <w:tcW w:w="1722"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left"/>
                    <w:textAlignment w:val="auto"/>
                    <w:outlineLvl w:val="9"/>
                    <w:rPr>
                      <w:rFonts w:hint="eastAsia" w:ascii="宋体" w:hAnsi="宋体" w:eastAsia="宋体" w:cs="宋体"/>
                      <w:sz w:val="21"/>
                      <w:szCs w:val="21"/>
                      <w:vertAlign w:val="baseline"/>
                    </w:rPr>
                  </w:pP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exact"/>
                    <w:ind w:left="0" w:leftChars="0" w:firstLine="0" w:firstLineChars="0"/>
                    <w:jc w:val="center"/>
                    <w:textAlignment w:val="auto"/>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1722" w:type="dxa"/>
                  <w:vAlign w:val="center"/>
                </w:tcPr>
                <w:p>
                  <w:pPr>
                    <w:pStyle w:val="7"/>
                    <w:keepNext w:val="0"/>
                    <w:keepLines w:val="0"/>
                    <w:pageBreakBefore w:val="0"/>
                    <w:widowControl/>
                    <w:kinsoku/>
                    <w:wordWrap/>
                    <w:overflowPunct/>
                    <w:topLinePunct w:val="0"/>
                    <w:autoSpaceDE/>
                    <w:autoSpaceDN/>
                    <w:bidi w:val="0"/>
                    <w:adjustRightInd w:val="0"/>
                    <w:snapToGrid w:val="0"/>
                    <w:spacing w:after="0" w:line="240" w:lineRule="exact"/>
                    <w:ind w:firstLine="0" w:firstLineChars="0"/>
                    <w:jc w:val="center"/>
                    <w:textAlignment w:val="auto"/>
                    <w:outlineLvl w:val="9"/>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3.61</w:t>
                  </w:r>
                </w:p>
              </w:tc>
              <w:tc>
                <w:tcPr>
                  <w:tcW w:w="1722"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eastAsia" w:ascii="宋体" w:hAnsi="宋体" w:eastAsia="宋体" w:cs="宋体"/>
                      <w:sz w:val="21"/>
                      <w:szCs w:val="21"/>
                      <w:vertAlign w:val="baseline"/>
                    </w:rPr>
                  </w:pP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tLeast"/>
                    <w:ind w:firstLine="0" w:firstLineChars="0"/>
                    <w:jc w:val="center"/>
                    <w:textAlignment w:val="auto"/>
                    <w:outlineLvl w:val="9"/>
                    <w:rPr>
                      <w:rFonts w:hint="eastAsia"/>
                      <w:sz w:val="21"/>
                      <w:szCs w:val="21"/>
                      <w:lang w:val="en-US" w:eastAsia="zh-CN"/>
                    </w:rPr>
                  </w:pPr>
                  <w:r>
                    <w:rPr>
                      <w:rFonts w:hint="eastAsia" w:ascii="宋体" w:hAnsi="宋体" w:eastAsia="宋体" w:cs="宋体"/>
                      <w:sz w:val="21"/>
                      <w:szCs w:val="21"/>
                      <w:vertAlign w:val="baseline"/>
                      <w:lang w:val="en-US" w:eastAsia="zh-CN"/>
                    </w:rPr>
                    <w:t>/</w:t>
                  </w:r>
                </w:p>
              </w:tc>
              <w:tc>
                <w:tcPr>
                  <w:tcW w:w="1723" w:type="dxa"/>
                  <w:vMerge w:val="continue"/>
                </w:tcPr>
                <w:p>
                  <w:pPr>
                    <w:pStyle w:val="7"/>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eastAsia" w:ascii="宋体" w:hAnsi="宋体" w:eastAsia="宋体" w:cs="宋体"/>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7" w:hRule="atLeast"/>
                <w:jc w:val="center"/>
              </w:trPr>
              <w:tc>
                <w:tcPr>
                  <w:tcW w:w="5166" w:type="dxa"/>
                  <w:gridSpan w:val="3"/>
                </w:tcPr>
                <w:p>
                  <w:pPr>
                    <w:pStyle w:val="7"/>
                    <w:keepNext w:val="0"/>
                    <w:keepLines w:val="0"/>
                    <w:pageBreakBefore w:val="0"/>
                    <w:widowControl/>
                    <w:kinsoku/>
                    <w:wordWrap/>
                    <w:overflowPunct/>
                    <w:topLinePunct w:val="0"/>
                    <w:autoSpaceDE/>
                    <w:autoSpaceDN/>
                    <w:bidi w:val="0"/>
                    <w:adjustRightInd w:val="0"/>
                    <w:snapToGrid w:val="0"/>
                    <w:spacing w:before="181" w:beforeLines="50" w:after="0" w:line="36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标准限制</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≤25</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w:t>
                  </w:r>
                </w:p>
              </w:tc>
              <w:tc>
                <w:tcPr>
                  <w:tcW w:w="1723"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eastAsia="zh-CN"/>
                    </w:rPr>
                    <w:t>≥</w:t>
                  </w:r>
                  <w:r>
                    <w:rPr>
                      <w:rFonts w:hint="default" w:ascii="Times New Roman" w:hAnsi="Times New Roman" w:eastAsia="宋体" w:cs="Times New Roman"/>
                      <w:sz w:val="21"/>
                      <w:szCs w:val="21"/>
                      <w:vertAlign w:val="baseline"/>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jc w:val="center"/>
              </w:trPr>
              <w:tc>
                <w:tcPr>
                  <w:tcW w:w="5166" w:type="dxa"/>
                  <w:gridSpan w:val="3"/>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是否达标</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达标</w:t>
                  </w:r>
                </w:p>
              </w:tc>
              <w:tc>
                <w:tcPr>
                  <w:tcW w:w="1722"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w:t>
                  </w:r>
                </w:p>
              </w:tc>
              <w:tc>
                <w:tcPr>
                  <w:tcW w:w="1723" w:type="dxa"/>
                </w:tcPr>
                <w:p>
                  <w:pPr>
                    <w:pStyle w:val="7"/>
                    <w:keepNext w:val="0"/>
                    <w:keepLines w:val="0"/>
                    <w:pageBreakBefore w:val="0"/>
                    <w:widowControl/>
                    <w:kinsoku/>
                    <w:wordWrap/>
                    <w:overflowPunct/>
                    <w:topLinePunct w:val="0"/>
                    <w:autoSpaceDE/>
                    <w:autoSpaceDN/>
                    <w:bidi w:val="0"/>
                    <w:adjustRightInd w:val="0"/>
                    <w:snapToGrid w:val="0"/>
                    <w:spacing w:before="181" w:beforeLines="50" w:after="0" w:line="240" w:lineRule="auto"/>
                    <w:ind w:firstLine="0" w:firstLineChars="0"/>
                    <w:jc w:val="center"/>
                    <w:textAlignment w:val="auto"/>
                    <w:outlineLvl w:val="9"/>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达标</w:t>
                  </w:r>
                </w:p>
              </w:tc>
            </w:tr>
          </w:tbl>
          <w:p>
            <w:pPr>
              <w:pStyle w:val="20"/>
              <w:keepNext w:val="0"/>
              <w:keepLines w:val="0"/>
              <w:pageBreakBefore w:val="0"/>
              <w:widowControl/>
              <w:kinsoku/>
              <w:wordWrap/>
              <w:overflowPunct/>
              <w:topLinePunct w:val="0"/>
              <w:autoSpaceDE/>
              <w:autoSpaceDN/>
              <w:bidi w:val="0"/>
              <w:adjustRightInd w:val="0"/>
              <w:snapToGrid w:val="0"/>
              <w:spacing w:before="181" w:beforeLines="50" w:after="0" w:line="360" w:lineRule="auto"/>
              <w:ind w:left="0" w:leftChars="0" w:firstLine="480" w:firstLineChars="200"/>
              <w:textAlignment w:val="auto"/>
              <w:outlineLvl w:val="9"/>
              <w:rPr>
                <w:rFonts w:hint="eastAsia" w:eastAsia="宋体"/>
                <w:color w:val="000000"/>
                <w:szCs w:val="21"/>
                <w:lang w:val="en-US" w:eastAsia="zh-CN"/>
              </w:rPr>
            </w:pPr>
            <w:r>
              <w:rPr>
                <w:rFonts w:hint="default" w:ascii="Times New Roman" w:hAnsi="Times New Roman" w:eastAsia="宋体" w:cs="Times New Roman"/>
                <w:sz w:val="24"/>
                <w:szCs w:val="24"/>
                <w:lang w:val="en-US" w:eastAsia="zh-CN"/>
              </w:rPr>
              <w:t>由表7-</w:t>
            </w:r>
            <w:r>
              <w:rPr>
                <w:rFonts w:hint="eastAsia" w:ascii="Times New Roman" w:hAnsi="Times New Roman" w:eastAsia="宋体" w:cs="Times New Roman"/>
                <w:sz w:val="24"/>
                <w:szCs w:val="24"/>
                <w:lang w:val="en-US" w:eastAsia="zh-CN"/>
              </w:rPr>
              <w:t>1</w:t>
            </w:r>
            <w:r>
              <w:rPr>
                <w:rFonts w:hint="eastAsia" w:eastAsia="宋体" w:cs="Times New Roman"/>
                <w:sz w:val="24"/>
                <w:szCs w:val="24"/>
                <w:lang w:val="en-US" w:eastAsia="zh-CN"/>
              </w:rPr>
              <w:t>监测</w:t>
            </w:r>
            <w:r>
              <w:rPr>
                <w:rFonts w:hint="default" w:ascii="Times New Roman" w:hAnsi="Times New Roman" w:eastAsia="宋体" w:cs="Times New Roman"/>
                <w:sz w:val="24"/>
                <w:szCs w:val="24"/>
                <w:lang w:val="en-US" w:eastAsia="zh-CN"/>
              </w:rPr>
              <w:t>结果显示，</w:t>
            </w:r>
            <w:r>
              <w:rPr>
                <w:rFonts w:hint="eastAsia" w:eastAsia="宋体"/>
                <w:b w:val="0"/>
                <w:bCs w:val="0"/>
                <w:lang w:eastAsia="zh-CN"/>
              </w:rPr>
              <w:t>有</w:t>
            </w:r>
            <w:r>
              <w:rPr>
                <w:rFonts w:hint="eastAsia" w:eastAsia="宋体"/>
                <w:b w:val="0"/>
                <w:bCs w:val="0"/>
                <w:color w:val="000000"/>
                <w:szCs w:val="21"/>
              </w:rPr>
              <w:t>组织废气</w:t>
            </w:r>
            <w:r>
              <w:rPr>
                <w:rFonts w:hint="eastAsia" w:eastAsia="宋体"/>
                <w:b w:val="0"/>
                <w:bCs w:val="0"/>
                <w:color w:val="000000"/>
                <w:szCs w:val="21"/>
                <w:lang w:eastAsia="zh-CN"/>
              </w:rPr>
              <w:t>（油气）满足</w:t>
            </w:r>
            <w:r>
              <w:rPr>
                <w:rFonts w:hint="default" w:ascii="Times New Roman" w:hAnsi="Times New Roman" w:eastAsia="宋体" w:cs="Times New Roman"/>
                <w:sz w:val="24"/>
                <w:szCs w:val="24"/>
                <w:lang w:val="en-US" w:eastAsia="zh-CN"/>
              </w:rPr>
              <w:t>《储油库大气污染物排放标准》（GB20950-2007）中表1处理装置油气排放限值</w:t>
            </w:r>
            <w:r>
              <w:rPr>
                <w:rFonts w:hint="eastAsia" w:ascii="Times New Roman" w:hAnsi="Times New Roman" w:eastAsia="宋体" w:cs="Times New Roman"/>
                <w:sz w:val="24"/>
                <w:szCs w:val="24"/>
                <w:lang w:val="en-US" w:eastAsia="zh-CN"/>
              </w:rPr>
              <w:t>要求。</w:t>
            </w:r>
          </w:p>
          <w:p>
            <w:pPr>
              <w:pStyle w:val="46"/>
              <w:keepNext w:val="0"/>
              <w:keepLines w:val="0"/>
              <w:pageBreakBefore w:val="0"/>
              <w:widowControl/>
              <w:kinsoku/>
              <w:wordWrap/>
              <w:overflowPunct/>
              <w:topLinePunct w:val="0"/>
              <w:autoSpaceDE/>
              <w:autoSpaceDN/>
              <w:bidi w:val="0"/>
              <w:adjustRightInd/>
              <w:snapToGrid w:val="0"/>
              <w:spacing w:before="181" w:beforeLines="50" w:after="181" w:afterLines="50" w:line="240" w:lineRule="auto"/>
              <w:ind w:left="0" w:leftChars="0" w:firstLine="0" w:firstLineChars="0"/>
              <w:jc w:val="both"/>
              <w:textAlignment w:val="auto"/>
              <w:outlineLvl w:val="9"/>
              <w:rPr>
                <w:rFonts w:hint="eastAsia" w:ascii="宋体" w:hAnsi="宋体" w:eastAsia="宋体" w:cs="宋体"/>
                <w:b/>
                <w:bCs/>
                <w:sz w:val="24"/>
                <w:szCs w:val="24"/>
              </w:rPr>
            </w:pPr>
          </w:p>
          <w:p>
            <w:pPr>
              <w:pStyle w:val="46"/>
              <w:keepNext w:val="0"/>
              <w:keepLines w:val="0"/>
              <w:pageBreakBefore w:val="0"/>
              <w:widowControl/>
              <w:kinsoku/>
              <w:wordWrap/>
              <w:overflowPunct/>
              <w:topLinePunct w:val="0"/>
              <w:autoSpaceDE/>
              <w:autoSpaceDN/>
              <w:bidi w:val="0"/>
              <w:adjustRightInd/>
              <w:snapToGrid w:val="0"/>
              <w:spacing w:before="181" w:beforeLines="50" w:after="181" w:afterLines="50" w:line="240" w:lineRule="auto"/>
              <w:ind w:left="0" w:leftChars="0" w:firstLine="0" w:firstLineChars="0"/>
              <w:jc w:val="both"/>
              <w:textAlignment w:val="auto"/>
              <w:outlineLvl w:val="9"/>
              <w:rPr>
                <w:rFonts w:hint="eastAsia" w:ascii="宋体" w:hAnsi="宋体" w:eastAsia="宋体" w:cs="宋体"/>
                <w:b/>
                <w:bCs/>
                <w:sz w:val="24"/>
                <w:szCs w:val="24"/>
              </w:rPr>
            </w:pPr>
          </w:p>
          <w:p>
            <w:pPr>
              <w:pStyle w:val="46"/>
              <w:keepNext w:val="0"/>
              <w:keepLines w:val="0"/>
              <w:pageBreakBefore w:val="0"/>
              <w:widowControl/>
              <w:kinsoku/>
              <w:wordWrap/>
              <w:overflowPunct/>
              <w:topLinePunct w:val="0"/>
              <w:autoSpaceDE/>
              <w:autoSpaceDN/>
              <w:bidi w:val="0"/>
              <w:adjustRightInd/>
              <w:snapToGrid w:val="0"/>
              <w:spacing w:before="181" w:beforeLines="50" w:after="181" w:afterLines="50" w:line="240" w:lineRule="auto"/>
              <w:ind w:left="0" w:leftChars="0" w:firstLine="0" w:firstLineChars="0"/>
              <w:jc w:val="both"/>
              <w:textAlignment w:val="auto"/>
              <w:outlineLvl w:val="9"/>
              <w:rPr>
                <w:rFonts w:hint="eastAsia" w:ascii="宋体" w:hAnsi="宋体" w:eastAsia="宋体" w:cs="宋体"/>
                <w:b/>
                <w:bCs/>
                <w:sz w:val="24"/>
                <w:szCs w:val="24"/>
              </w:rPr>
            </w:pPr>
          </w:p>
          <w:p>
            <w:pPr>
              <w:pStyle w:val="46"/>
              <w:keepNext w:val="0"/>
              <w:keepLines w:val="0"/>
              <w:pageBreakBefore w:val="0"/>
              <w:widowControl/>
              <w:kinsoku/>
              <w:wordWrap/>
              <w:overflowPunct/>
              <w:topLinePunct w:val="0"/>
              <w:autoSpaceDE/>
              <w:autoSpaceDN/>
              <w:bidi w:val="0"/>
              <w:adjustRightInd/>
              <w:snapToGrid w:val="0"/>
              <w:spacing w:before="361" w:beforeLines="100" w:after="0" w:line="360" w:lineRule="auto"/>
              <w:ind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w:t>
            </w:r>
            <w:r>
              <w:rPr>
                <w:rFonts w:hint="eastAsia" w:ascii="宋体" w:hAnsi="宋体" w:eastAsia="宋体" w:cs="宋体"/>
                <w:b/>
                <w:bCs/>
                <w:sz w:val="24"/>
                <w:szCs w:val="24"/>
                <w:lang w:val="en-US" w:eastAsia="zh-CN"/>
              </w:rPr>
              <w:t>2</w:t>
            </w:r>
            <w:r>
              <w:rPr>
                <w:rFonts w:hint="eastAsia" w:ascii="Times New Roman" w:hAnsi="Times New Roman" w:eastAsia="宋体" w:cs="Times New Roman"/>
                <w:b/>
                <w:bCs/>
                <w:sz w:val="24"/>
                <w:szCs w:val="24"/>
                <w:lang w:val="en-US" w:eastAsia="zh-CN"/>
              </w:rPr>
              <w:t>油水分离池废水出口</w:t>
            </w:r>
            <w:r>
              <w:rPr>
                <w:rFonts w:hint="eastAsia" w:ascii="宋体" w:hAnsi="宋体" w:eastAsia="宋体" w:cs="宋体"/>
                <w:b/>
                <w:bCs/>
                <w:sz w:val="24"/>
                <w:szCs w:val="24"/>
              </w:rPr>
              <w:t>监测结果</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b/>
                <w:bCs/>
                <w:sz w:val="18"/>
                <w:szCs w:val="18"/>
              </w:rPr>
              <w:t>单位：mg/L（pH除外）</w:t>
            </w:r>
          </w:p>
          <w:tbl>
            <w:tblPr>
              <w:tblStyle w:val="19"/>
              <w:tblW w:w="10422" w:type="dxa"/>
              <w:jc w:val="center"/>
              <w:tblInd w:w="-4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797"/>
              <w:gridCol w:w="734"/>
              <w:gridCol w:w="766"/>
              <w:gridCol w:w="812"/>
              <w:gridCol w:w="766"/>
              <w:gridCol w:w="734"/>
              <w:gridCol w:w="781"/>
              <w:gridCol w:w="782"/>
              <w:gridCol w:w="1062"/>
              <w:gridCol w:w="934"/>
              <w:gridCol w:w="1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2" w:hRule="atLeast"/>
                <w:jc w:val="center"/>
              </w:trPr>
              <w:tc>
                <w:tcPr>
                  <w:tcW w:w="1254" w:type="dxa"/>
                  <w:vMerge w:val="restart"/>
                  <w:vAlign w:val="top"/>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156" w:line="240" w:lineRule="atLeast"/>
                    <w:ind w:left="0" w:leftChars="0" w:right="0" w:rightChars="0" w:firstLine="0" w:firstLineChars="0"/>
                    <w:jc w:val="left"/>
                    <w:textAlignment w:val="auto"/>
                    <mc:AlternateContent>
                      <mc:Choice Requires="wpsCustomData">
                        <wpsCustomData:diagonalParaType/>
                      </mc:Choice>
                    </mc:AlternateContent>
                    <w:rPr>
                      <w:rFonts w:hint="default" w:ascii="Times New Roman" w:hAnsi="Times New Roman" w:eastAsia="宋体" w:cs="Times New Roman"/>
                      <w:b/>
                      <w:bCs/>
                      <w:color w:val="auto"/>
                      <w:spacing w:val="-20"/>
                      <w:kern w:val="0"/>
                      <w:sz w:val="21"/>
                      <w:szCs w:val="21"/>
                      <w:vertAlign w:val="baseline"/>
                      <w:lang w:eastAsia="zh-CN"/>
                    </w:rPr>
                  </w:pPr>
                  <w:r>
                    <w:rPr>
                      <w:rFonts w:hint="eastAsia" w:ascii="Times New Roman" w:hAnsi="Times New Roman" w:eastAsia="宋体" w:cs="Times New Roman"/>
                      <w:b/>
                      <w:bCs/>
                      <w:color w:val="auto"/>
                      <w:spacing w:val="-20"/>
                      <w:kern w:val="0"/>
                      <w:sz w:val="21"/>
                      <w:szCs w:val="21"/>
                      <w:vertAlign w:val="baseline"/>
                      <w:lang w:eastAsia="zh-CN"/>
                    </w:rPr>
                    <w:t>监测</w:t>
                  </w:r>
                  <w:r>
                    <w:rPr>
                      <w:rFonts w:hint="default" w:ascii="Times New Roman" w:hAnsi="Times New Roman" w:eastAsia="宋体" w:cs="Times New Roman"/>
                      <w:b/>
                      <w:bCs/>
                      <w:color w:val="auto"/>
                      <w:spacing w:val="-20"/>
                      <w:kern w:val="0"/>
                      <w:sz w:val="21"/>
                      <w:szCs w:val="21"/>
                      <w:vertAlign w:val="baseline"/>
                      <w:lang w:eastAsia="zh-CN"/>
                    </w:rPr>
                    <w:t>指标</w:t>
                  </w:r>
                </w:p>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156" w:line="240" w:lineRule="atLeast"/>
                    <w:ind w:left="0" w:leftChars="0" w:right="0" w:rightChars="0" w:firstLine="0" w:firstLineChars="0"/>
                    <w:jc w:val="left"/>
                    <w:textAlignment w:val="auto"/>
                    <w:rPr>
                      <w:rFonts w:hint="default" w:ascii="Times New Roman" w:hAnsi="Times New Roman" w:cs="Times New Roman"/>
                      <w:spacing w:val="-20"/>
                      <w:sz w:val="21"/>
                      <w:szCs w:val="21"/>
                      <w:vertAlign w:val="baseline"/>
                    </w:rPr>
                  </w:pPr>
                  <w:r>
                    <w:rPr>
                      <w:rFonts w:hint="eastAsia" w:ascii="Times New Roman" w:hAnsi="Times New Roman" w:eastAsia="宋体" w:cs="Times New Roman"/>
                      <w:b/>
                      <w:bCs/>
                      <w:color w:val="auto"/>
                      <w:spacing w:val="-20"/>
                      <w:kern w:val="0"/>
                      <w:sz w:val="21"/>
                      <w:szCs w:val="21"/>
                      <w:vertAlign w:val="baseline"/>
                      <w:lang w:eastAsia="zh-CN"/>
                    </w:rPr>
                    <w:t>监测</w:t>
                  </w:r>
                  <w:r>
                    <w:rPr>
                      <w:rFonts w:hint="default" w:ascii="Times New Roman" w:hAnsi="Times New Roman" w:eastAsia="宋体" w:cs="Times New Roman"/>
                      <w:b/>
                      <w:bCs/>
                      <w:color w:val="auto"/>
                      <w:spacing w:val="-20"/>
                      <w:kern w:val="0"/>
                      <w:sz w:val="21"/>
                      <w:szCs w:val="21"/>
                      <w:vertAlign w:val="baseline"/>
                      <w:lang w:eastAsia="zh-CN"/>
                    </w:rPr>
                    <w:t>点位及时间</w:t>
                  </w:r>
                </w:p>
              </w:tc>
              <w:tc>
                <w:tcPr>
                  <w:tcW w:w="7234" w:type="dxa"/>
                  <w:gridSpan w:val="9"/>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right="0" w:rightChars="0" w:firstLine="0" w:firstLineChars="0"/>
                    <w:jc w:val="center"/>
                    <w:textAlignment w:val="auto"/>
                    <w:outlineLvl w:val="9"/>
                    <w:rPr>
                      <w:rFonts w:hint="default" w:ascii="Times New Roman" w:hAnsi="Times New Roman" w:cs="Times New Roman"/>
                      <w:b w:val="0"/>
                      <w:bCs w:val="0"/>
                      <w:spacing w:val="-20"/>
                      <w:sz w:val="21"/>
                      <w:szCs w:val="21"/>
                      <w:vertAlign w:val="baseline"/>
                    </w:rPr>
                  </w:pPr>
                  <w:r>
                    <w:rPr>
                      <w:rFonts w:hint="eastAsia" w:ascii="Times New Roman" w:hAnsi="Times New Roman" w:eastAsia="宋体" w:cs="Times New Roman"/>
                      <w:b w:val="0"/>
                      <w:bCs w:val="0"/>
                      <w:sz w:val="21"/>
                      <w:szCs w:val="21"/>
                      <w:lang w:val="en-US" w:eastAsia="zh-CN"/>
                    </w:rPr>
                    <w:t>油水分离池废水排口</w:t>
                  </w:r>
                </w:p>
              </w:tc>
              <w:tc>
                <w:tcPr>
                  <w:tcW w:w="1934" w:type="dxa"/>
                  <w:gridSpan w:val="2"/>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8"/>
                      <w:kern w:val="2"/>
                      <w:sz w:val="21"/>
                      <w:szCs w:val="21"/>
                      <w:lang w:val="en-US" w:eastAsia="zh-CN" w:bidi="ar-SA"/>
                    </w:rPr>
                    <w:t>《</w:t>
                  </w:r>
                  <w:r>
                    <w:rPr>
                      <w:rFonts w:hint="eastAsia" w:ascii="Times New Roman" w:hAnsi="Times New Roman" w:eastAsia="宋体" w:cs="Times New Roman"/>
                      <w:color w:val="auto"/>
                      <w:spacing w:val="-28"/>
                      <w:kern w:val="2"/>
                      <w:sz w:val="21"/>
                      <w:szCs w:val="21"/>
                      <w:lang w:val="en-US" w:eastAsia="zh-CN" w:bidi="ar-SA"/>
                    </w:rPr>
                    <w:t>污水综合</w:t>
                  </w:r>
                  <w:r>
                    <w:rPr>
                      <w:rFonts w:hint="default" w:ascii="Times New Roman" w:hAnsi="Times New Roman" w:eastAsia="宋体" w:cs="Times New Roman"/>
                      <w:color w:val="auto"/>
                      <w:spacing w:val="-28"/>
                      <w:kern w:val="2"/>
                      <w:sz w:val="21"/>
                      <w:szCs w:val="21"/>
                      <w:lang w:val="en-US" w:eastAsia="zh-CN" w:bidi="ar-SA"/>
                    </w:rPr>
                    <w:t>排放标准》（GB8978-1996）表4一级标准限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254" w:type="dxa"/>
                  <w:vMerge w:val="continue"/>
                </w:tcPr>
                <w:p>
                  <w:pPr>
                    <w:pStyle w:val="7"/>
                    <w:widowControl w:val="0"/>
                    <w:jc w:val="both"/>
                    <w:rPr>
                      <w:rFonts w:hint="default" w:ascii="Times New Roman" w:hAnsi="Times New Roman" w:cs="Times New Roman"/>
                      <w:spacing w:val="-20"/>
                      <w:sz w:val="21"/>
                      <w:szCs w:val="21"/>
                      <w:vertAlign w:val="baseline"/>
                    </w:rPr>
                  </w:pPr>
                </w:p>
              </w:tc>
              <w:tc>
                <w:tcPr>
                  <w:tcW w:w="3109" w:type="dxa"/>
                  <w:gridSpan w:val="4"/>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eastAsia" w:ascii="Times New Roman" w:hAnsi="Times New Roman" w:eastAsia="宋体" w:cs="Times New Roman"/>
                      <w:color w:val="auto"/>
                      <w:spacing w:val="-20"/>
                      <w:kern w:val="2"/>
                      <w:sz w:val="21"/>
                      <w:szCs w:val="21"/>
                      <w:lang w:val="en-US" w:eastAsia="zh-CN" w:bidi="ar-SA"/>
                    </w:rPr>
                    <w:t>9</w:t>
                  </w:r>
                  <w:r>
                    <w:rPr>
                      <w:rFonts w:hint="default" w:ascii="Times New Roman" w:hAnsi="Times New Roman" w:eastAsia="宋体" w:cs="Times New Roman"/>
                      <w:color w:val="auto"/>
                      <w:spacing w:val="-20"/>
                      <w:kern w:val="2"/>
                      <w:sz w:val="21"/>
                      <w:szCs w:val="21"/>
                      <w:lang w:val="en-US" w:eastAsia="zh-CN" w:bidi="ar-SA"/>
                    </w:rPr>
                    <w:t>月</w:t>
                  </w:r>
                  <w:r>
                    <w:rPr>
                      <w:rFonts w:hint="eastAsia" w:ascii="Times New Roman" w:hAnsi="Times New Roman" w:eastAsia="宋体" w:cs="Times New Roman"/>
                      <w:color w:val="auto"/>
                      <w:spacing w:val="-20"/>
                      <w:kern w:val="2"/>
                      <w:sz w:val="21"/>
                      <w:szCs w:val="21"/>
                      <w:lang w:val="en-US" w:eastAsia="zh-CN" w:bidi="ar-SA"/>
                    </w:rPr>
                    <w:t>4</w:t>
                  </w:r>
                  <w:r>
                    <w:rPr>
                      <w:rFonts w:hint="default" w:ascii="Times New Roman" w:hAnsi="Times New Roman" w:eastAsia="宋体" w:cs="Times New Roman"/>
                      <w:color w:val="auto"/>
                      <w:spacing w:val="-20"/>
                      <w:kern w:val="2"/>
                      <w:sz w:val="21"/>
                      <w:szCs w:val="21"/>
                      <w:lang w:val="en-US" w:eastAsia="zh-CN" w:bidi="ar-SA"/>
                    </w:rPr>
                    <w:t>日</w:t>
                  </w:r>
                </w:p>
              </w:tc>
              <w:tc>
                <w:tcPr>
                  <w:tcW w:w="3063" w:type="dxa"/>
                  <w:gridSpan w:val="4"/>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rPr>
                  </w:pPr>
                  <w:r>
                    <w:rPr>
                      <w:rFonts w:hint="eastAsia" w:ascii="Times New Roman" w:hAnsi="Times New Roman" w:eastAsia="宋体" w:cs="Times New Roman"/>
                      <w:color w:val="auto"/>
                      <w:spacing w:val="-20"/>
                      <w:kern w:val="2"/>
                      <w:sz w:val="21"/>
                      <w:szCs w:val="21"/>
                      <w:lang w:val="en-US" w:eastAsia="zh-CN" w:bidi="ar-SA"/>
                    </w:rPr>
                    <w:t>9</w:t>
                  </w:r>
                  <w:r>
                    <w:rPr>
                      <w:rFonts w:hint="default" w:ascii="Times New Roman" w:hAnsi="Times New Roman" w:eastAsia="宋体" w:cs="Times New Roman"/>
                      <w:color w:val="auto"/>
                      <w:spacing w:val="-20"/>
                      <w:kern w:val="2"/>
                      <w:sz w:val="21"/>
                      <w:szCs w:val="21"/>
                      <w:lang w:val="en-US" w:eastAsia="zh-CN" w:bidi="ar-SA"/>
                    </w:rPr>
                    <w:t>月</w:t>
                  </w:r>
                  <w:r>
                    <w:rPr>
                      <w:rFonts w:hint="eastAsia" w:ascii="Times New Roman" w:hAnsi="Times New Roman" w:eastAsia="宋体" w:cs="Times New Roman"/>
                      <w:color w:val="auto"/>
                      <w:spacing w:val="-20"/>
                      <w:kern w:val="2"/>
                      <w:sz w:val="21"/>
                      <w:szCs w:val="21"/>
                      <w:lang w:val="en-US" w:eastAsia="zh-CN" w:bidi="ar-SA"/>
                    </w:rPr>
                    <w:t>5</w:t>
                  </w:r>
                  <w:r>
                    <w:rPr>
                      <w:rFonts w:hint="default" w:ascii="Times New Roman" w:hAnsi="Times New Roman" w:eastAsia="宋体" w:cs="Times New Roman"/>
                      <w:color w:val="auto"/>
                      <w:spacing w:val="-20"/>
                      <w:kern w:val="2"/>
                      <w:sz w:val="21"/>
                      <w:szCs w:val="21"/>
                      <w:lang w:val="en-US" w:eastAsia="zh-CN" w:bidi="ar-SA"/>
                    </w:rPr>
                    <w:t>日</w:t>
                  </w:r>
                </w:p>
              </w:tc>
              <w:tc>
                <w:tcPr>
                  <w:tcW w:w="1062"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0"/>
                      <w:kern w:val="2"/>
                      <w:sz w:val="21"/>
                      <w:szCs w:val="21"/>
                      <w:lang w:val="en-US" w:eastAsia="zh-CN" w:bidi="ar-SA"/>
                    </w:rPr>
                  </w:pPr>
                  <w:r>
                    <w:rPr>
                      <w:rFonts w:hint="default" w:ascii="Times New Roman" w:hAnsi="Times New Roman" w:eastAsia="宋体" w:cs="Times New Roman"/>
                      <w:color w:val="auto"/>
                      <w:spacing w:val="-20"/>
                      <w:kern w:val="2"/>
                      <w:sz w:val="21"/>
                      <w:szCs w:val="21"/>
                      <w:lang w:val="en-US" w:eastAsia="zh-CN" w:bidi="ar-SA"/>
                    </w:rPr>
                    <w:t>二日</w:t>
                  </w:r>
                </w:p>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均值</w:t>
                  </w:r>
                </w:p>
              </w:tc>
              <w:tc>
                <w:tcPr>
                  <w:tcW w:w="93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0"/>
                      <w:kern w:val="2"/>
                      <w:sz w:val="21"/>
                      <w:szCs w:val="21"/>
                      <w:lang w:val="en-US" w:eastAsia="zh-CN" w:bidi="ar-SA"/>
                    </w:rPr>
                  </w:pPr>
                  <w:r>
                    <w:rPr>
                      <w:rFonts w:hint="default" w:ascii="Times New Roman" w:hAnsi="Times New Roman" w:eastAsia="宋体" w:cs="Times New Roman"/>
                      <w:color w:val="auto"/>
                      <w:spacing w:val="-20"/>
                      <w:kern w:val="2"/>
                      <w:sz w:val="21"/>
                      <w:szCs w:val="21"/>
                      <w:lang w:val="en-US" w:eastAsia="zh-CN" w:bidi="ar-SA"/>
                    </w:rPr>
                    <w:t>标准</w:t>
                  </w:r>
                </w:p>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限值</w:t>
                  </w:r>
                </w:p>
              </w:tc>
              <w:tc>
                <w:tcPr>
                  <w:tcW w:w="1000"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0"/>
                      <w:kern w:val="2"/>
                      <w:sz w:val="21"/>
                      <w:szCs w:val="21"/>
                      <w:lang w:val="en-US" w:eastAsia="zh-CN" w:bidi="ar-SA"/>
                    </w:rPr>
                  </w:pPr>
                  <w:r>
                    <w:rPr>
                      <w:rFonts w:hint="default" w:ascii="Times New Roman" w:hAnsi="Times New Roman" w:eastAsia="宋体" w:cs="Times New Roman"/>
                      <w:color w:val="auto"/>
                      <w:spacing w:val="-20"/>
                      <w:kern w:val="2"/>
                      <w:sz w:val="21"/>
                      <w:szCs w:val="21"/>
                      <w:lang w:val="en-US" w:eastAsia="zh-CN" w:bidi="ar-SA"/>
                    </w:rPr>
                    <w:t>达标</w:t>
                  </w:r>
                </w:p>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5" w:hRule="exact"/>
                <w:jc w:val="center"/>
              </w:trPr>
              <w:tc>
                <w:tcPr>
                  <w:tcW w:w="1254" w:type="dxa"/>
                  <w:vMerge w:val="continue"/>
                </w:tcPr>
                <w:p>
                  <w:pPr>
                    <w:pStyle w:val="7"/>
                    <w:widowControl w:val="0"/>
                    <w:jc w:val="both"/>
                    <w:rPr>
                      <w:rFonts w:hint="default" w:ascii="Times New Roman" w:hAnsi="Times New Roman" w:cs="Times New Roman"/>
                      <w:spacing w:val="-20"/>
                      <w:sz w:val="21"/>
                      <w:szCs w:val="21"/>
                      <w:vertAlign w:val="baseline"/>
                    </w:rPr>
                  </w:pP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1</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2</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3</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4</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1</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2</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3</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4</w:t>
                  </w:r>
                </w:p>
              </w:tc>
              <w:tc>
                <w:tcPr>
                  <w:tcW w:w="1062"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cs="Times New Roman"/>
                      <w:spacing w:val="-20"/>
                      <w:sz w:val="21"/>
                      <w:szCs w:val="21"/>
                      <w:vertAlign w:val="baseline"/>
                    </w:rPr>
                  </w:pPr>
                </w:p>
              </w:tc>
              <w:tc>
                <w:tcPr>
                  <w:tcW w:w="934" w:type="dxa"/>
                  <w:vMerge w:val="continue"/>
                </w:tcPr>
                <w:p>
                  <w:pPr>
                    <w:pStyle w:val="7"/>
                    <w:widowControl w:val="0"/>
                    <w:jc w:val="both"/>
                    <w:rPr>
                      <w:rFonts w:hint="default" w:ascii="Times New Roman" w:hAnsi="Times New Roman" w:cs="Times New Roman"/>
                      <w:spacing w:val="-20"/>
                      <w:sz w:val="21"/>
                      <w:szCs w:val="21"/>
                      <w:vertAlign w:val="baseline"/>
                    </w:rPr>
                  </w:pPr>
                </w:p>
              </w:tc>
              <w:tc>
                <w:tcPr>
                  <w:tcW w:w="1000" w:type="dxa"/>
                  <w:vMerge w:val="continue"/>
                </w:tcPr>
                <w:p>
                  <w:pPr>
                    <w:pStyle w:val="7"/>
                    <w:widowControl w:val="0"/>
                    <w:jc w:val="both"/>
                    <w:rPr>
                      <w:rFonts w:hint="default" w:ascii="Times New Roman" w:hAnsi="Times New Roman" w:cs="Times New Roman"/>
                      <w:spacing w:val="-20"/>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5"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0"/>
                      <w:sz w:val="21"/>
                      <w:szCs w:val="21"/>
                      <w:vertAlign w:val="baseline"/>
                      <w:lang w:val="en-US" w:eastAsia="zh-CN"/>
                    </w:rPr>
                    <w:t>pH</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6.93</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6.95</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6.99</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7.08</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6.99</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6.97</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6.91</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7.01</w:t>
                  </w:r>
                </w:p>
              </w:tc>
              <w:tc>
                <w:tcPr>
                  <w:tcW w:w="106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6.91</w:t>
                  </w:r>
                  <w:r>
                    <w:rPr>
                      <w:rFonts w:hint="default" w:ascii="Times New Roman" w:hAnsi="Times New Roman" w:eastAsia="宋体" w:cs="Times New Roman"/>
                      <w:spacing w:val="-20"/>
                      <w:sz w:val="21"/>
                      <w:szCs w:val="21"/>
                      <w:vertAlign w:val="baseline"/>
                      <w:lang w:val="en-US" w:eastAsia="zh-CN"/>
                    </w:rPr>
                    <w:t>~</w:t>
                  </w:r>
                  <w:r>
                    <w:rPr>
                      <w:rFonts w:hint="eastAsia" w:ascii="Times New Roman" w:hAnsi="Times New Roman" w:eastAsia="宋体" w:cs="Times New Roman"/>
                      <w:spacing w:val="-20"/>
                      <w:sz w:val="21"/>
                      <w:szCs w:val="21"/>
                      <w:vertAlign w:val="baseline"/>
                      <w:lang w:val="en-US" w:eastAsia="zh-CN"/>
                    </w:rPr>
                    <w:t>7.08</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6-9</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spacing w:val="-23"/>
                      <w:sz w:val="21"/>
                      <w:szCs w:val="21"/>
                      <w:vertAlign w:val="baseline"/>
                    </w:rPr>
                  </w:pPr>
                  <w:r>
                    <w:rPr>
                      <w:rFonts w:hint="default" w:ascii="Times New Roman" w:hAnsi="Times New Roman" w:eastAsia="宋体" w:cs="Times New Roman"/>
                      <w:color w:val="auto"/>
                      <w:spacing w:val="-23"/>
                      <w:kern w:val="0"/>
                      <w:sz w:val="21"/>
                      <w:szCs w:val="21"/>
                      <w:vertAlign w:val="baseline"/>
                      <w:lang w:val="en-US" w:eastAsia="zh-CN"/>
                    </w:rPr>
                    <w:t>悬浮物</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12</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14</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13</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12</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14</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11</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12</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11</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spacing w:val="-2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12</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eastAsia"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70</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3"/>
                      <w:kern w:val="0"/>
                      <w:sz w:val="21"/>
                      <w:szCs w:val="21"/>
                      <w:vertAlign w:val="baseline"/>
                      <w:lang w:val="en-US" w:eastAsia="zh-CN"/>
                    </w:rPr>
                  </w:pPr>
                  <w:r>
                    <w:rPr>
                      <w:rFonts w:hint="default" w:ascii="Times New Roman" w:hAnsi="Times New Roman" w:eastAsia="宋体" w:cs="Times New Roman"/>
                      <w:color w:val="auto"/>
                      <w:spacing w:val="-23"/>
                      <w:kern w:val="0"/>
                      <w:sz w:val="21"/>
                      <w:szCs w:val="21"/>
                      <w:vertAlign w:val="baseline"/>
                      <w:lang w:val="en-US" w:eastAsia="zh-CN"/>
                    </w:rPr>
                    <w:t>化学需</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spacing w:val="-23"/>
                      <w:sz w:val="21"/>
                      <w:szCs w:val="21"/>
                      <w:vertAlign w:val="baseline"/>
                    </w:rPr>
                  </w:pPr>
                  <w:r>
                    <w:rPr>
                      <w:rFonts w:hint="default" w:ascii="Times New Roman" w:hAnsi="Times New Roman" w:eastAsia="宋体" w:cs="Times New Roman"/>
                      <w:color w:val="auto"/>
                      <w:spacing w:val="-23"/>
                      <w:kern w:val="0"/>
                      <w:sz w:val="21"/>
                      <w:szCs w:val="21"/>
                      <w:vertAlign w:val="baseline"/>
                      <w:lang w:val="en-US" w:eastAsia="zh-CN"/>
                    </w:rPr>
                    <w:t>氧量</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13</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20</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14</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16</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22</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18</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17</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20</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i w:val="0"/>
                      <w:color w:val="000000"/>
                      <w:kern w:val="0"/>
                      <w:sz w:val="21"/>
                      <w:szCs w:val="21"/>
                      <w:u w:val="none"/>
                      <w:lang w:val="en-US" w:eastAsia="zh-CN" w:bidi="ar"/>
                    </w:rPr>
                    <w:t>17</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eastAsia"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100</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spacing w:val="-23"/>
                      <w:sz w:val="21"/>
                      <w:szCs w:val="21"/>
                      <w:vertAlign w:val="baseline"/>
                    </w:rPr>
                  </w:pPr>
                  <w:r>
                    <w:rPr>
                      <w:rFonts w:hint="default" w:ascii="Times New Roman" w:hAnsi="Times New Roman" w:eastAsia="宋体" w:cs="Times New Roman"/>
                      <w:color w:val="auto"/>
                      <w:spacing w:val="-23"/>
                      <w:kern w:val="0"/>
                      <w:sz w:val="21"/>
                      <w:szCs w:val="21"/>
                      <w:vertAlign w:val="baseline"/>
                      <w:lang w:val="en-US" w:eastAsia="zh-CN"/>
                    </w:rPr>
                    <w:t>五日生化需氧量</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2.7</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3.7</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3.1</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3.7</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3.7</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3.5</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3.7</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3.9</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spacing w:val="-2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3.5</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eastAsia"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20</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2"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spacing w:val="-23"/>
                      <w:sz w:val="21"/>
                      <w:szCs w:val="21"/>
                      <w:vertAlign w:val="baseline"/>
                    </w:rPr>
                  </w:pPr>
                  <w:r>
                    <w:rPr>
                      <w:rFonts w:hint="eastAsia" w:ascii="Times New Roman" w:hAnsi="Times New Roman" w:eastAsia="宋体" w:cs="Times New Roman"/>
                      <w:color w:val="auto"/>
                      <w:spacing w:val="-23"/>
                      <w:kern w:val="0"/>
                      <w:sz w:val="21"/>
                      <w:szCs w:val="21"/>
                      <w:vertAlign w:val="baseline"/>
                      <w:lang w:val="en-US" w:eastAsia="zh-CN"/>
                    </w:rPr>
                    <w:t>石油类</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4.17</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3.14</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3.90</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2.85</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0.84</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1.04</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1.05</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1.06</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spacing w:val="-2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2.26</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eastAsia"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5</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rPr>
                  </w:pPr>
                  <w:r>
                    <w:rPr>
                      <w:rFonts w:hint="default" w:ascii="Times New Roman" w:hAnsi="Times New Roman" w:eastAsia="宋体" w:cs="Times New Roman"/>
                      <w:color w:val="auto"/>
                      <w:spacing w:val="-20"/>
                      <w:kern w:val="2"/>
                      <w:sz w:val="21"/>
                      <w:szCs w:val="21"/>
                      <w:lang w:val="en-US" w:eastAsia="zh-CN" w:bidi="ar-S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2" w:hRule="exact"/>
                <w:jc w:val="center"/>
              </w:trPr>
              <w:tc>
                <w:tcPr>
                  <w:tcW w:w="125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3"/>
                      <w:kern w:val="0"/>
                      <w:sz w:val="21"/>
                      <w:szCs w:val="21"/>
                      <w:vertAlign w:val="baseline"/>
                      <w:lang w:val="en-US" w:eastAsia="zh-CN"/>
                    </w:rPr>
                  </w:pPr>
                  <w:r>
                    <w:rPr>
                      <w:rFonts w:hint="eastAsia" w:ascii="Times New Roman" w:hAnsi="Times New Roman" w:eastAsia="宋体" w:cs="Times New Roman"/>
                      <w:color w:val="auto"/>
                      <w:spacing w:val="-23"/>
                      <w:kern w:val="0"/>
                      <w:sz w:val="21"/>
                      <w:szCs w:val="21"/>
                      <w:vertAlign w:val="baseline"/>
                      <w:lang w:val="en-US" w:eastAsia="zh-CN"/>
                    </w:rPr>
                    <w:t>氨氮</w:t>
                  </w:r>
                </w:p>
              </w:tc>
              <w:tc>
                <w:tcPr>
                  <w:tcW w:w="797"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0.555</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0.518</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0.607</w:t>
                  </w:r>
                </w:p>
              </w:tc>
              <w:tc>
                <w:tcPr>
                  <w:tcW w:w="81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0.658</w:t>
                  </w:r>
                </w:p>
              </w:tc>
              <w:tc>
                <w:tcPr>
                  <w:tcW w:w="766"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0.578</w:t>
                  </w:r>
                </w:p>
              </w:tc>
              <w:tc>
                <w:tcPr>
                  <w:tcW w:w="734"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0.598</w:t>
                  </w:r>
                </w:p>
              </w:tc>
              <w:tc>
                <w:tcPr>
                  <w:tcW w:w="781"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0.558</w:t>
                  </w:r>
                </w:p>
              </w:tc>
              <w:tc>
                <w:tcPr>
                  <w:tcW w:w="782"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spacing w:val="-20"/>
                      <w:sz w:val="21"/>
                      <w:szCs w:val="21"/>
                      <w:vertAlign w:val="baseline"/>
                      <w:lang w:val="en-US" w:eastAsia="zh-CN"/>
                    </w:rPr>
                  </w:pPr>
                  <w:r>
                    <w:rPr>
                      <w:rFonts w:hint="eastAsia" w:ascii="Times New Roman" w:hAnsi="Times New Roman" w:eastAsia="宋体" w:cs="Times New Roman"/>
                      <w:spacing w:val="-20"/>
                      <w:sz w:val="21"/>
                      <w:szCs w:val="21"/>
                      <w:vertAlign w:val="baseline"/>
                      <w:lang w:val="en-US" w:eastAsia="zh-CN"/>
                    </w:rPr>
                    <w:t>0.584</w:t>
                  </w:r>
                </w:p>
              </w:tc>
              <w:tc>
                <w:tcPr>
                  <w:tcW w:w="106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after="0"/>
                    <w:jc w:val="center"/>
                    <w:textAlignment w:val="center"/>
                    <w:outlineLvl w:val="9"/>
                    <w:rPr>
                      <w:rFonts w:hint="default" w:ascii="Times New Roman" w:hAnsi="Times New Roman" w:eastAsia="宋体" w:cs="Times New Roman"/>
                      <w:spacing w:val="-2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0.582</w:t>
                  </w:r>
                </w:p>
              </w:tc>
              <w:tc>
                <w:tcPr>
                  <w:tcW w:w="934" w:type="dxa"/>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after="0" w:line="200" w:lineRule="atLeast"/>
                    <w:ind w:left="0" w:leftChars="0" w:firstLine="0" w:firstLineChars="0"/>
                    <w:jc w:val="center"/>
                    <w:textAlignment w:val="auto"/>
                    <w:rPr>
                      <w:rFonts w:hint="default" w:ascii="Times New Roman" w:hAnsi="Times New Roman" w:eastAsia="宋体" w:cs="Times New Roman"/>
                      <w:color w:val="auto"/>
                      <w:spacing w:val="-20"/>
                      <w:kern w:val="2"/>
                      <w:sz w:val="21"/>
                      <w:szCs w:val="21"/>
                      <w:lang w:val="en-US" w:eastAsia="zh-CN" w:bidi="ar-SA"/>
                    </w:rPr>
                  </w:pPr>
                  <w:r>
                    <w:rPr>
                      <w:rFonts w:hint="eastAsia" w:ascii="Times New Roman" w:hAnsi="Times New Roman" w:eastAsia="宋体" w:cs="Times New Roman"/>
                      <w:color w:val="auto"/>
                      <w:spacing w:val="-20"/>
                      <w:kern w:val="2"/>
                      <w:sz w:val="21"/>
                      <w:szCs w:val="21"/>
                      <w:lang w:val="en-US" w:eastAsia="zh-CN" w:bidi="ar-SA"/>
                    </w:rPr>
                    <w:t>15</w:t>
                  </w:r>
                </w:p>
              </w:tc>
              <w:tc>
                <w:tcPr>
                  <w:tcW w:w="1000" w:type="dxa"/>
                  <w:vAlign w:val="center"/>
                </w:tcPr>
                <w:p>
                  <w:pPr>
                    <w:keepNext w:val="0"/>
                    <w:keepLines w:val="0"/>
                    <w:pageBreakBefore w:val="0"/>
                    <w:widowControl w:val="0"/>
                    <w:kinsoku/>
                    <w:wordWrap/>
                    <w:overflowPunct/>
                    <w:topLinePunct w:val="0"/>
                    <w:autoSpaceDE/>
                    <w:autoSpaceDN/>
                    <w:bidi w:val="0"/>
                    <w:adjustRightInd w:val="0"/>
                    <w:snapToGrid w:val="0"/>
                    <w:spacing w:after="0" w:line="200" w:lineRule="atLeast"/>
                    <w:ind w:left="0" w:leftChars="0" w:right="0" w:rightChars="0" w:firstLine="0" w:firstLineChars="0"/>
                    <w:jc w:val="center"/>
                    <w:textAlignment w:val="auto"/>
                    <w:outlineLvl w:val="9"/>
                    <w:rPr>
                      <w:rFonts w:hint="default" w:ascii="Times New Roman" w:hAnsi="Times New Roman" w:eastAsia="宋体" w:cs="Times New Roman"/>
                      <w:color w:val="auto"/>
                      <w:spacing w:val="-20"/>
                      <w:kern w:val="2"/>
                      <w:sz w:val="21"/>
                      <w:szCs w:val="21"/>
                      <w:lang w:val="en-US" w:eastAsia="zh-CN" w:bidi="ar-SA"/>
                    </w:rPr>
                  </w:pPr>
                  <w:r>
                    <w:rPr>
                      <w:rFonts w:hint="default" w:ascii="Times New Roman" w:hAnsi="Times New Roman" w:eastAsia="宋体" w:cs="Times New Roman"/>
                      <w:color w:val="auto"/>
                      <w:spacing w:val="-20"/>
                      <w:kern w:val="2"/>
                      <w:sz w:val="21"/>
                      <w:szCs w:val="21"/>
                      <w:lang w:val="en-US" w:eastAsia="zh-CN" w:bidi="ar-SA"/>
                    </w:rPr>
                    <w:t>达标</w:t>
                  </w:r>
                </w:p>
              </w:tc>
            </w:tr>
          </w:tbl>
          <w:p>
            <w:pPr>
              <w:pStyle w:val="7"/>
              <w:keepNext w:val="0"/>
              <w:keepLines w:val="0"/>
              <w:pageBreakBefore w:val="0"/>
              <w:widowControl/>
              <w:kinsoku/>
              <w:wordWrap/>
              <w:overflowPunct/>
              <w:topLinePunct w:val="0"/>
              <w:autoSpaceDE/>
              <w:autoSpaceDN/>
              <w:bidi w:val="0"/>
              <w:adjustRightInd w:val="0"/>
              <w:snapToGrid w:val="0"/>
              <w:spacing w:before="361" w:beforeLines="100"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由表7-</w:t>
            </w:r>
            <w:r>
              <w:rPr>
                <w:rFonts w:hint="eastAsia" w:ascii="Times New Roman" w:hAnsi="Times New Roman" w:eastAsia="宋体" w:cs="Times New Roman"/>
                <w:sz w:val="24"/>
                <w:szCs w:val="24"/>
                <w:lang w:val="en-US" w:eastAsia="zh-CN"/>
              </w:rPr>
              <w:t>2</w:t>
            </w:r>
            <w:r>
              <w:rPr>
                <w:rFonts w:hint="eastAsia" w:eastAsia="宋体" w:cs="Times New Roman"/>
                <w:sz w:val="24"/>
                <w:szCs w:val="24"/>
                <w:lang w:val="en-US" w:eastAsia="zh-CN"/>
              </w:rPr>
              <w:t>监测</w:t>
            </w:r>
            <w:r>
              <w:rPr>
                <w:rFonts w:hint="default" w:ascii="Times New Roman" w:hAnsi="Times New Roman" w:eastAsia="宋体" w:cs="Times New Roman"/>
                <w:sz w:val="24"/>
                <w:szCs w:val="24"/>
                <w:lang w:val="en-US" w:eastAsia="zh-CN"/>
              </w:rPr>
              <w:t>结果显示，油水分离池废水出口各项指标均满足《</w:t>
            </w:r>
            <w:bookmarkStart w:id="55" w:name="_GoBack"/>
            <w:bookmarkEnd w:id="55"/>
            <w:r>
              <w:rPr>
                <w:rFonts w:hint="eastAsia" w:ascii="Times New Roman" w:hAnsi="Times New Roman" w:eastAsia="宋体" w:cs="Times New Roman"/>
                <w:sz w:val="24"/>
                <w:szCs w:val="24"/>
                <w:lang w:val="en-US" w:eastAsia="zh-CN"/>
              </w:rPr>
              <w:t>污水综合</w:t>
            </w:r>
            <w:r>
              <w:rPr>
                <w:rFonts w:hint="default" w:ascii="Times New Roman" w:hAnsi="Times New Roman" w:eastAsia="宋体" w:cs="Times New Roman"/>
                <w:sz w:val="24"/>
                <w:szCs w:val="24"/>
                <w:lang w:val="en-US" w:eastAsia="zh-CN"/>
              </w:rPr>
              <w:t>排放标准》（GB8978-1996）表4一级标准限要求。</w:t>
            </w: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p>
            <w:pPr>
              <w:pStyle w:val="7"/>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91" w:hRule="atLeast"/>
          <w:jc w:val="center"/>
        </w:trPr>
        <w:tc>
          <w:tcPr>
            <w:tcW w:w="10549" w:type="dxa"/>
          </w:tcPr>
          <w:p>
            <w:pPr>
              <w:pStyle w:val="46"/>
              <w:keepNext w:val="0"/>
              <w:keepLines w:val="0"/>
              <w:pageBreakBefore w:val="0"/>
              <w:widowControl/>
              <w:kinsoku/>
              <w:wordWrap/>
              <w:overflowPunct/>
              <w:topLinePunct w:val="0"/>
              <w:autoSpaceDE/>
              <w:autoSpaceDN/>
              <w:bidi w:val="0"/>
              <w:adjustRightInd w:val="0"/>
              <w:snapToGrid w:val="0"/>
              <w:spacing w:before="361" w:beforeLines="100" w:after="0" w:line="360" w:lineRule="auto"/>
              <w:ind w:firstLine="0" w:firstLineChars="0"/>
              <w:jc w:val="center"/>
              <w:textAlignment w:val="auto"/>
              <w:outlineLvl w:val="9"/>
              <w:rPr>
                <w:rFonts w:hint="default" w:ascii="Times New Roman" w:hAnsi="Times New Roman" w:eastAsia="宋体" w:cs="Times New Roman"/>
                <w:sz w:val="18"/>
                <w:szCs w:val="18"/>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w:t>
            </w: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无组织排放</w:t>
            </w:r>
            <w:r>
              <w:rPr>
                <w:rFonts w:hint="eastAsia" w:ascii="宋体" w:hAnsi="宋体" w:eastAsia="宋体" w:cs="宋体"/>
                <w:b/>
                <w:bCs/>
                <w:sz w:val="24"/>
                <w:szCs w:val="24"/>
                <w:lang w:eastAsia="zh-CN"/>
              </w:rPr>
              <w:t>废气</w:t>
            </w:r>
            <w:r>
              <w:rPr>
                <w:rFonts w:hint="eastAsia" w:ascii="宋体" w:hAnsi="宋体" w:eastAsia="宋体" w:cs="宋体"/>
                <w:b/>
                <w:bCs/>
                <w:sz w:val="24"/>
                <w:szCs w:val="24"/>
              </w:rPr>
              <w:t>监测结果</w:t>
            </w:r>
            <w:r>
              <w:rPr>
                <w:rFonts w:hint="eastAsia" w:ascii="宋体" w:hAnsi="宋体" w:eastAsia="宋体" w:cs="宋体"/>
                <w:b/>
                <w:bCs/>
                <w:sz w:val="24"/>
                <w:szCs w:val="24"/>
                <w:lang w:val="en-US" w:eastAsia="zh-CN"/>
              </w:rPr>
              <w:t xml:space="preserve"> </w:t>
            </w:r>
            <w:r>
              <w:rPr>
                <w:rFonts w:hint="default" w:ascii="Times New Roman" w:hAnsi="Times New Roman" w:eastAsia="宋体" w:cs="Times New Roman"/>
                <w:b/>
                <w:bCs/>
              </w:rPr>
              <w:t xml:space="preserve">  </w:t>
            </w:r>
            <w:r>
              <w:rPr>
                <w:rFonts w:hint="default" w:ascii="Times New Roman" w:hAnsi="Times New Roman" w:eastAsia="宋体" w:cs="Times New Roman"/>
              </w:rPr>
              <w:t xml:space="preserve">  </w:t>
            </w:r>
            <w:r>
              <w:rPr>
                <w:rFonts w:hint="eastAsia" w:eastAsia="宋体" w:cs="Times New Roman"/>
                <w:lang w:val="en-US" w:eastAsia="zh-CN"/>
              </w:rPr>
              <w:t xml:space="preserve">                      </w:t>
            </w:r>
            <w:r>
              <w:rPr>
                <w:rFonts w:hint="eastAsia" w:eastAsia="宋体" w:cs="Times New Roman"/>
                <w:sz w:val="18"/>
                <w:szCs w:val="18"/>
                <w:lang w:val="en-US" w:eastAsia="zh-CN"/>
              </w:rPr>
              <w:t xml:space="preserve">        </w:t>
            </w:r>
            <w:r>
              <w:rPr>
                <w:rFonts w:hint="default" w:ascii="Times New Roman" w:hAnsi="Times New Roman" w:eastAsia="宋体" w:cs="Times New Roman"/>
                <w:sz w:val="18"/>
                <w:szCs w:val="18"/>
              </w:rPr>
              <w:t xml:space="preserve"> </w:t>
            </w:r>
            <w:r>
              <w:rPr>
                <w:rFonts w:hint="default" w:ascii="Times New Roman" w:hAnsi="Times New Roman" w:eastAsia="宋体" w:cs="Times New Roman"/>
                <w:b/>
                <w:bCs/>
                <w:sz w:val="18"/>
                <w:szCs w:val="18"/>
              </w:rPr>
              <w:t>单位mg/m³</w:t>
            </w:r>
          </w:p>
          <w:tbl>
            <w:tblPr>
              <w:tblStyle w:val="19"/>
              <w:tblpPr w:leftFromText="180" w:rightFromText="180" w:vertAnchor="text" w:horzAnchor="page" w:tblpX="711" w:tblpY="164"/>
              <w:tblOverlap w:val="never"/>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0"/>
              <w:gridCol w:w="1607"/>
              <w:gridCol w:w="1513"/>
              <w:gridCol w:w="1283"/>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exact"/>
              </w:trPr>
              <w:tc>
                <w:tcPr>
                  <w:tcW w:w="2370"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采样点位</w:t>
                  </w:r>
                </w:p>
              </w:tc>
              <w:tc>
                <w:tcPr>
                  <w:tcW w:w="4403" w:type="dxa"/>
                  <w:gridSpan w:val="3"/>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非甲烷总烃</w:t>
                  </w:r>
                </w:p>
              </w:tc>
              <w:tc>
                <w:tcPr>
                  <w:tcW w:w="2514"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eastAsia" w:ascii="宋体" w:hAnsi="宋体" w:eastAsia="宋体" w:cs="宋体"/>
                      <w:bCs/>
                      <w:kern w:val="0"/>
                      <w:sz w:val="21"/>
                      <w:szCs w:val="21"/>
                      <w:lang w:eastAsia="zh-CN"/>
                    </w:rPr>
                    <w:t>《大气污染物综合排放标准》（GB16297-1996）表</w:t>
                  </w:r>
                  <w:r>
                    <w:rPr>
                      <w:rFonts w:hint="eastAsia" w:ascii="宋体" w:hAnsi="宋体" w:eastAsia="宋体" w:cs="宋体"/>
                      <w:bCs/>
                      <w:kern w:val="0"/>
                      <w:sz w:val="21"/>
                      <w:szCs w:val="21"/>
                      <w:lang w:val="en-US" w:eastAsia="zh-CN"/>
                    </w:rPr>
                    <w:t>2</w:t>
                  </w:r>
                  <w:r>
                    <w:rPr>
                      <w:rFonts w:hint="eastAsia" w:ascii="宋体" w:hAnsi="宋体" w:eastAsia="宋体" w:cs="宋体"/>
                      <w:bCs/>
                      <w:kern w:val="0"/>
                      <w:sz w:val="21"/>
                      <w:szCs w:val="21"/>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exac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rPr>
                  </w:pPr>
                </w:p>
              </w:tc>
              <w:tc>
                <w:tcPr>
                  <w:tcW w:w="3120" w:type="dxa"/>
                  <w:gridSpan w:val="2"/>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监测</w:t>
                  </w:r>
                  <w:r>
                    <w:rPr>
                      <w:rFonts w:hint="default" w:ascii="Times New Roman" w:hAnsi="Times New Roman" w:eastAsia="宋体" w:cs="Times New Roman"/>
                      <w:kern w:val="0"/>
                      <w:sz w:val="21"/>
                      <w:szCs w:val="21"/>
                      <w:lang w:eastAsia="zh-CN"/>
                    </w:rPr>
                    <w:t>日期</w:t>
                  </w:r>
                </w:p>
              </w:tc>
              <w:tc>
                <w:tcPr>
                  <w:tcW w:w="1283"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eastAsia="zh-CN"/>
                    </w:rPr>
                    <w:t>最高浓度</w:t>
                  </w: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7" w:hRule="exac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8</w:t>
                  </w:r>
                  <w:r>
                    <w:rPr>
                      <w:rFonts w:hint="default" w:ascii="Times New Roman" w:hAnsi="Times New Roman" w:eastAsia="宋体" w:cs="Times New Roman"/>
                      <w:kern w:val="0"/>
                      <w:sz w:val="21"/>
                      <w:szCs w:val="21"/>
                    </w:rPr>
                    <w:t>月</w:t>
                  </w:r>
                  <w:r>
                    <w:rPr>
                      <w:rFonts w:hint="default" w:ascii="Times New Roman" w:hAnsi="Times New Roman" w:cs="Times New Roman"/>
                      <w:kern w:val="0"/>
                      <w:sz w:val="21"/>
                      <w:szCs w:val="21"/>
                      <w:lang w:val="en-US" w:eastAsia="zh-CN"/>
                    </w:rPr>
                    <w:t>9</w:t>
                  </w:r>
                  <w:r>
                    <w:rPr>
                      <w:rFonts w:hint="default" w:ascii="Times New Roman" w:hAnsi="Times New Roman" w:eastAsia="宋体" w:cs="Times New Roman"/>
                      <w:kern w:val="0"/>
                      <w:sz w:val="21"/>
                      <w:szCs w:val="21"/>
                    </w:rPr>
                    <w:t>日</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8</w:t>
                  </w:r>
                  <w:r>
                    <w:rPr>
                      <w:rFonts w:hint="default" w:ascii="Times New Roman" w:hAnsi="Times New Roman" w:eastAsia="宋体" w:cs="Times New Roman"/>
                      <w:kern w:val="0"/>
                      <w:sz w:val="21"/>
                      <w:szCs w:val="21"/>
                    </w:rPr>
                    <w:t>月</w:t>
                  </w:r>
                  <w:r>
                    <w:rPr>
                      <w:rFonts w:hint="eastAsia" w:ascii="Times New Roman" w:hAnsi="Times New Roman" w:eastAsia="宋体" w:cs="Times New Roman"/>
                      <w:kern w:val="0"/>
                      <w:sz w:val="21"/>
                      <w:szCs w:val="21"/>
                      <w:lang w:val="en-US" w:eastAsia="zh-CN"/>
                    </w:rPr>
                    <w:t>10</w:t>
                  </w:r>
                  <w:r>
                    <w:rPr>
                      <w:rFonts w:hint="default" w:ascii="Times New Roman" w:hAnsi="Times New Roman" w:eastAsia="宋体" w:cs="Times New Roman"/>
                      <w:kern w:val="0"/>
                      <w:sz w:val="21"/>
                      <w:szCs w:val="21"/>
                    </w:rPr>
                    <w:t>日</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bCs/>
                      <w:color w:val="000000" w:themeColor="text1"/>
                      <w:kern w:val="0"/>
                      <w:sz w:val="21"/>
                      <w:szCs w:val="21"/>
                      <w:lang w:val="en-US" w:eastAsia="zh-CN"/>
                      <w14:textFill>
                        <w14:solidFill>
                          <w14:schemeClr w14:val="tx1"/>
                        </w14:solidFill>
                      </w14:textFill>
                    </w:rPr>
                    <w:t>厂界东G</w:t>
                  </w:r>
                  <w:r>
                    <w:rPr>
                      <w:rFonts w:hint="eastAsia" w:ascii="宋体" w:hAnsi="宋体" w:eastAsia="宋体" w:cs="宋体"/>
                      <w:bCs/>
                      <w:color w:val="000000" w:themeColor="text1"/>
                      <w:kern w:val="0"/>
                      <w:sz w:val="21"/>
                      <w:szCs w:val="21"/>
                      <w:vertAlign w:val="subscript"/>
                      <w:lang w:val="en-US" w:eastAsia="zh-CN"/>
                      <w14:textFill>
                        <w14:solidFill>
                          <w14:schemeClr w14:val="tx1"/>
                        </w14:solidFill>
                      </w14:textFill>
                    </w:rPr>
                    <w:t xml:space="preserve">1 </w:t>
                  </w: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0.88</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0.77</w:t>
                  </w:r>
                </w:p>
              </w:tc>
              <w:tc>
                <w:tcPr>
                  <w:tcW w:w="1283"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0.88</w:t>
                  </w:r>
                </w:p>
              </w:tc>
              <w:tc>
                <w:tcPr>
                  <w:tcW w:w="2514"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0.77</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0.76</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0.68</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0.65</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bCs/>
                      <w:color w:val="000000" w:themeColor="text1"/>
                      <w:kern w:val="0"/>
                      <w:sz w:val="21"/>
                      <w:szCs w:val="21"/>
                      <w:lang w:val="en-US" w:eastAsia="zh-CN"/>
                      <w14:textFill>
                        <w14:solidFill>
                          <w14:schemeClr w14:val="tx1"/>
                        </w14:solidFill>
                      </w14:textFill>
                    </w:rPr>
                    <w:t>厂界南G</w:t>
                  </w:r>
                  <w:r>
                    <w:rPr>
                      <w:rFonts w:hint="eastAsia" w:ascii="宋体" w:hAnsi="宋体" w:eastAsia="宋体" w:cs="宋体"/>
                      <w:bCs/>
                      <w:color w:val="000000" w:themeColor="text1"/>
                      <w:kern w:val="0"/>
                      <w:sz w:val="21"/>
                      <w:szCs w:val="21"/>
                      <w:vertAlign w:val="subscript"/>
                      <w:lang w:val="en-US" w:eastAsia="zh-CN"/>
                      <w14:textFill>
                        <w14:solidFill>
                          <w14:schemeClr w14:val="tx1"/>
                        </w14:solidFill>
                      </w14:textFill>
                    </w:rPr>
                    <w:t>2</w:t>
                  </w: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0.74</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0.80</w:t>
                  </w:r>
                </w:p>
              </w:tc>
              <w:tc>
                <w:tcPr>
                  <w:tcW w:w="1283"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1.41</w:t>
                  </w: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0.73</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0.61</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0.44</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1.41</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bCs/>
                      <w:color w:val="000000" w:themeColor="text1"/>
                      <w:kern w:val="0"/>
                      <w:sz w:val="21"/>
                      <w:szCs w:val="21"/>
                      <w:lang w:val="en-US" w:eastAsia="zh-CN"/>
                      <w14:textFill>
                        <w14:solidFill>
                          <w14:schemeClr w14:val="tx1"/>
                        </w14:solidFill>
                      </w14:textFill>
                    </w:rPr>
                    <w:t>厂界西G</w:t>
                  </w:r>
                  <w:r>
                    <w:rPr>
                      <w:rFonts w:hint="eastAsia" w:ascii="宋体" w:hAnsi="宋体" w:eastAsia="宋体" w:cs="宋体"/>
                      <w:bCs/>
                      <w:color w:val="000000" w:themeColor="text1"/>
                      <w:kern w:val="0"/>
                      <w:sz w:val="21"/>
                      <w:szCs w:val="21"/>
                      <w:vertAlign w:val="subscript"/>
                      <w:lang w:val="en-US" w:eastAsia="zh-CN"/>
                      <w14:textFill>
                        <w14:solidFill>
                          <w14:schemeClr w14:val="tx1"/>
                        </w14:solidFill>
                      </w14:textFill>
                    </w:rPr>
                    <w:t>3</w:t>
                  </w: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1.33</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0.77</w:t>
                  </w:r>
                </w:p>
              </w:tc>
              <w:tc>
                <w:tcPr>
                  <w:tcW w:w="1283"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1.56</w:t>
                  </w: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1.56</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0.79</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1.40</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0.85</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bCs/>
                      <w:color w:val="000000" w:themeColor="text1"/>
                      <w:kern w:val="0"/>
                      <w:sz w:val="21"/>
                      <w:szCs w:val="21"/>
                      <w:lang w:val="en-US" w:eastAsia="zh-CN"/>
                      <w14:textFill>
                        <w14:solidFill>
                          <w14:schemeClr w14:val="tx1"/>
                        </w14:solidFill>
                      </w14:textFill>
                    </w:rPr>
                    <w:t>厂界北G4</w:t>
                  </w: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0.59</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1.40</w:t>
                  </w:r>
                </w:p>
              </w:tc>
              <w:tc>
                <w:tcPr>
                  <w:tcW w:w="1283" w:type="dxa"/>
                  <w:vMerge w:val="restart"/>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1.40</w:t>
                  </w: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0.59</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0.74</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370"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0"/>
                      <w:sz w:val="21"/>
                      <w:szCs w:val="21"/>
                      <w14:textFill>
                        <w14:solidFill>
                          <w14:schemeClr w14:val="tx1"/>
                        </w14:solidFill>
                      </w14:textFill>
                    </w:rPr>
                  </w:pPr>
                </w:p>
              </w:tc>
              <w:tc>
                <w:tcPr>
                  <w:tcW w:w="1607"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0.56</w:t>
                  </w:r>
                </w:p>
              </w:tc>
              <w:tc>
                <w:tcPr>
                  <w:tcW w:w="151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0.69</w:t>
                  </w:r>
                </w:p>
              </w:tc>
              <w:tc>
                <w:tcPr>
                  <w:tcW w:w="1283"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c>
                <w:tcPr>
                  <w:tcW w:w="2514" w:type="dxa"/>
                  <w:vMerge w:val="continue"/>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4" w:hRule="exact"/>
              </w:trPr>
              <w:tc>
                <w:tcPr>
                  <w:tcW w:w="5490" w:type="dxa"/>
                  <w:gridSpan w:val="3"/>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lang w:eastAsia="zh-CN"/>
                    </w:rPr>
                    <w:t>达标情况</w:t>
                  </w:r>
                </w:p>
              </w:tc>
              <w:tc>
                <w:tcPr>
                  <w:tcW w:w="1283"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bCs/>
                      <w:kern w:val="0"/>
                      <w:sz w:val="21"/>
                      <w:szCs w:val="21"/>
                      <w:lang w:eastAsia="zh-CN"/>
                    </w:rPr>
                    <w:t>达标</w:t>
                  </w:r>
                </w:p>
              </w:tc>
              <w:tc>
                <w:tcPr>
                  <w:tcW w:w="2514" w:type="dxa"/>
                  <w:vAlign w:val="center"/>
                </w:tcPr>
                <w:p>
                  <w:pPr>
                    <w:keepNext w:val="0"/>
                    <w:keepLines w:val="0"/>
                    <w:pageBreakBefore w:val="0"/>
                    <w:widowControl w:val="0"/>
                    <w:tabs>
                      <w:tab w:val="left" w:pos="2520"/>
                      <w:tab w:val="left" w:pos="2880"/>
                      <w:tab w:val="left" w:pos="3060"/>
                    </w:tabs>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r>
          </w:tbl>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20" w:firstLineChars="200"/>
              <w:textAlignment w:val="auto"/>
              <w:outlineLvl w:val="9"/>
              <w:rPr>
                <w:rFonts w:hint="eastAsia" w:ascii="宋体" w:hAnsi="宋体" w:eastAsia="宋体" w:cs="宋体"/>
                <w:sz w:val="21"/>
                <w:szCs w:val="21"/>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80" w:firstLineChars="200"/>
              <w:textAlignment w:val="auto"/>
              <w:outlineLvl w:val="9"/>
              <w:rPr>
                <w:rFonts w:hint="eastAsia" w:ascii="宋体" w:hAnsi="宋体" w:eastAsia="宋体" w:cs="宋体"/>
                <w:sz w:val="24"/>
                <w:szCs w:val="24"/>
              </w:rPr>
            </w:pPr>
          </w:p>
          <w:p>
            <w:pPr>
              <w:pStyle w:val="46"/>
              <w:keepNext w:val="0"/>
              <w:keepLines w:val="0"/>
              <w:pageBreakBefore w:val="0"/>
              <w:widowControl/>
              <w:kinsoku/>
              <w:wordWrap/>
              <w:overflowPunct/>
              <w:topLinePunct w:val="0"/>
              <w:autoSpaceDE/>
              <w:autoSpaceDN/>
              <w:bidi w:val="0"/>
              <w:adjustRightInd/>
              <w:snapToGrid w:val="0"/>
              <w:spacing w:after="0" w:line="360" w:lineRule="auto"/>
              <w:ind w:firstLine="480" w:firstLineChars="200"/>
              <w:textAlignment w:val="auto"/>
              <w:outlineLvl w:val="9"/>
              <w:rPr>
                <w:rFonts w:hint="eastAsia" w:ascii="宋体" w:hAnsi="宋体" w:eastAsia="宋体" w:cs="宋体"/>
                <w:sz w:val="24"/>
                <w:szCs w:val="24"/>
              </w:rPr>
            </w:pPr>
            <w:r>
              <w:rPr>
                <w:rFonts w:hint="eastAsia" w:ascii="宋体" w:hAnsi="宋体" w:eastAsia="宋体" w:cs="宋体"/>
                <w:sz w:val="24"/>
                <w:szCs w:val="24"/>
              </w:rPr>
              <w:t>由</w:t>
            </w:r>
          </w:p>
          <w:p>
            <w:pPr>
              <w:pStyle w:val="46"/>
              <w:keepNext w:val="0"/>
              <w:keepLines w:val="0"/>
              <w:pageBreakBefore w:val="0"/>
              <w:widowControl/>
              <w:kinsoku/>
              <w:wordWrap/>
              <w:overflowPunct/>
              <w:topLinePunct w:val="0"/>
              <w:autoSpaceDE/>
              <w:autoSpaceDN/>
              <w:bidi w:val="0"/>
              <w:adjustRightInd/>
              <w:snapToGrid w:val="0"/>
              <w:spacing w:after="0" w:line="360" w:lineRule="auto"/>
              <w:ind w:left="0" w:leftChars="0" w:firstLine="480" w:firstLineChars="200"/>
              <w:textAlignment w:val="auto"/>
              <w:outlineLvl w:val="9"/>
              <w:rPr>
                <w:rFonts w:hint="eastAsia" w:eastAsia="宋体"/>
                <w:sz w:val="18"/>
                <w:szCs w:val="18"/>
                <w:lang w:eastAsia="zh-CN"/>
              </w:rPr>
            </w:pPr>
            <w:r>
              <w:rPr>
                <w:rFonts w:hint="eastAsia" w:ascii="宋体" w:hAnsi="宋体" w:eastAsia="宋体" w:cs="宋体"/>
                <w:sz w:val="24"/>
                <w:szCs w:val="24"/>
              </w:rPr>
              <w:t>表7-</w:t>
            </w:r>
            <w:r>
              <w:rPr>
                <w:rFonts w:hint="eastAsia" w:ascii="宋体" w:hAnsi="宋体" w:eastAsia="宋体" w:cs="宋体"/>
                <w:sz w:val="24"/>
                <w:szCs w:val="24"/>
                <w:lang w:val="en-US" w:eastAsia="zh-CN"/>
              </w:rPr>
              <w:t>3</w:t>
            </w:r>
            <w:r>
              <w:rPr>
                <w:rFonts w:hint="eastAsia" w:eastAsia="宋体"/>
                <w:color w:val="000000"/>
                <w:szCs w:val="21"/>
                <w:lang w:eastAsia="zh-CN"/>
              </w:rPr>
              <w:t>监测</w:t>
            </w:r>
            <w:r>
              <w:rPr>
                <w:rFonts w:hint="eastAsia" w:ascii="宋体" w:hAnsi="宋体" w:eastAsia="宋体" w:cs="宋体"/>
                <w:sz w:val="24"/>
                <w:szCs w:val="24"/>
              </w:rPr>
              <w:t>结果显示，无组织</w:t>
            </w:r>
            <w:r>
              <w:rPr>
                <w:rFonts w:hint="eastAsia" w:ascii="宋体" w:hAnsi="宋体" w:eastAsia="宋体" w:cs="宋体"/>
                <w:sz w:val="24"/>
                <w:szCs w:val="24"/>
                <w:lang w:eastAsia="zh-CN"/>
              </w:rPr>
              <w:t>废气</w:t>
            </w:r>
            <w:r>
              <w:rPr>
                <w:rFonts w:hint="default" w:ascii="Times New Roman" w:hAnsi="Times New Roman" w:eastAsia="宋体" w:cs="Times New Roman"/>
                <w:kern w:val="0"/>
                <w:sz w:val="24"/>
                <w:szCs w:val="24"/>
                <w:lang w:eastAsia="zh-CN"/>
              </w:rPr>
              <w:t>非甲烷总烃</w:t>
            </w:r>
            <w:r>
              <w:rPr>
                <w:rFonts w:hint="eastAsia" w:ascii="宋体" w:hAnsi="宋体" w:eastAsia="宋体" w:cs="宋体"/>
                <w:sz w:val="24"/>
                <w:szCs w:val="24"/>
              </w:rPr>
              <w:t>满足《大气污染物综合排放标准》（GB16297-1996）表2标准限值</w:t>
            </w:r>
            <w:r>
              <w:rPr>
                <w:rFonts w:hint="eastAsia" w:ascii="宋体" w:hAnsi="宋体" w:eastAsia="宋体" w:cs="宋体"/>
                <w:sz w:val="24"/>
                <w:szCs w:val="24"/>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96" w:hRule="atLeast"/>
          <w:jc w:val="center"/>
        </w:trPr>
        <w:tc>
          <w:tcPr>
            <w:tcW w:w="10549" w:type="dxa"/>
          </w:tcPr>
          <w:p>
            <w:pPr>
              <w:pStyle w:val="46"/>
              <w:keepNext w:val="0"/>
              <w:keepLines w:val="0"/>
              <w:pageBreakBefore w:val="0"/>
              <w:widowControl/>
              <w:kinsoku/>
              <w:wordWrap/>
              <w:overflowPunct/>
              <w:topLinePunct w:val="0"/>
              <w:autoSpaceDE/>
              <w:autoSpaceDN/>
              <w:bidi w:val="0"/>
              <w:adjustRightInd w:val="0"/>
              <w:snapToGrid w:val="0"/>
              <w:spacing w:before="361" w:beforeLines="100" w:after="0" w:line="360" w:lineRule="auto"/>
              <w:ind w:firstLine="0" w:firstLineChars="0"/>
              <w:jc w:val="center"/>
              <w:textAlignment w:val="auto"/>
              <w:rPr>
                <w:rFonts w:hint="eastAsia" w:ascii="宋体" w:hAnsi="宋体" w:eastAsia="宋体" w:cs="宋体"/>
                <w:b/>
                <w:bCs/>
                <w:sz w:val="18"/>
                <w:szCs w:val="18"/>
                <w:lang w:val="en-US" w:eastAsia="zh-CN"/>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表7-</w:t>
            </w:r>
            <w:r>
              <w:rPr>
                <w:rFonts w:hint="eastAsia" w:ascii="宋体" w:hAnsi="宋体" w:eastAsia="宋体" w:cs="宋体"/>
                <w:b/>
                <w:bCs/>
                <w:sz w:val="24"/>
                <w:szCs w:val="24"/>
                <w:lang w:val="en-US" w:eastAsia="zh-CN"/>
              </w:rPr>
              <w:t>4</w:t>
            </w:r>
            <w:r>
              <w:rPr>
                <w:rFonts w:hint="eastAsia" w:ascii="宋体" w:hAnsi="宋体" w:eastAsia="宋体" w:cs="宋体"/>
                <w:b/>
                <w:bCs/>
                <w:sz w:val="24"/>
                <w:szCs w:val="24"/>
              </w:rPr>
              <w:t>厂界噪声监测结果</w:t>
            </w:r>
            <w:r>
              <w:rPr>
                <w:rFonts w:hint="eastAsia" w:ascii="宋体" w:hAnsi="宋体" w:eastAsia="宋体" w:cs="宋体"/>
                <w:b/>
                <w:bCs/>
                <w:sz w:val="24"/>
                <w:szCs w:val="24"/>
                <w:lang w:val="en-US" w:eastAsia="zh-CN"/>
              </w:rPr>
              <w:t xml:space="preserve">                    </w:t>
            </w:r>
            <w:r>
              <w:rPr>
                <w:rFonts w:hint="eastAsia" w:ascii="宋体" w:hAnsi="宋体" w:eastAsia="宋体" w:cs="宋体"/>
                <w:b/>
                <w:bCs/>
                <w:sz w:val="18"/>
                <w:szCs w:val="18"/>
              </w:rPr>
              <w:t>单位：dB(A)</w:t>
            </w:r>
          </w:p>
          <w:tbl>
            <w:tblPr>
              <w:tblStyle w:val="19"/>
              <w:tblW w:w="894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068"/>
              <w:gridCol w:w="1060"/>
              <w:gridCol w:w="1139"/>
              <w:gridCol w:w="1139"/>
              <w:gridCol w:w="1143"/>
              <w:gridCol w:w="1353"/>
              <w:gridCol w:w="1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编号</w:t>
                  </w:r>
                </w:p>
              </w:tc>
              <w:tc>
                <w:tcPr>
                  <w:tcW w:w="1068" w:type="dxa"/>
                  <w:vMerge w:val="restart"/>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检测</w:t>
                  </w:r>
                </w:p>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点位</w:t>
                  </w:r>
                </w:p>
              </w:tc>
              <w:tc>
                <w:tcPr>
                  <w:tcW w:w="4481" w:type="dxa"/>
                  <w:gridSpan w:val="4"/>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测量日期</w:t>
                  </w:r>
                </w:p>
              </w:tc>
              <w:tc>
                <w:tcPr>
                  <w:tcW w:w="2570" w:type="dxa"/>
                  <w:gridSpan w:val="2"/>
                  <w:vMerge w:val="restart"/>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《工业企业厂界环境噪声排放标准》GB12348-2008）2类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829" w:type="dxa"/>
                  <w:vMerge w:val="continue"/>
                  <w:vAlign w:val="center"/>
                </w:tcPr>
                <w:p>
                  <w:pPr>
                    <w:pStyle w:val="47"/>
                    <w:widowControl/>
                    <w:spacing w:after="0"/>
                    <w:rPr>
                      <w:rFonts w:hint="eastAsia" w:ascii="宋体" w:hAnsi="宋体" w:eastAsia="宋体" w:cs="宋体"/>
                      <w:sz w:val="21"/>
                      <w:szCs w:val="21"/>
                    </w:rPr>
                  </w:pPr>
                </w:p>
              </w:tc>
              <w:tc>
                <w:tcPr>
                  <w:tcW w:w="1068" w:type="dxa"/>
                  <w:vMerge w:val="continue"/>
                  <w:vAlign w:val="center"/>
                </w:tcPr>
                <w:p>
                  <w:pPr>
                    <w:pStyle w:val="47"/>
                    <w:widowControl/>
                    <w:spacing w:after="0"/>
                    <w:rPr>
                      <w:rFonts w:hint="eastAsia" w:ascii="宋体" w:hAnsi="宋体" w:eastAsia="宋体" w:cs="宋体"/>
                      <w:sz w:val="21"/>
                      <w:szCs w:val="21"/>
                    </w:rPr>
                  </w:pPr>
                </w:p>
              </w:tc>
              <w:tc>
                <w:tcPr>
                  <w:tcW w:w="2199" w:type="dxa"/>
                  <w:gridSpan w:val="2"/>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8</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rPr>
                    <w:t>日</w:t>
                  </w:r>
                </w:p>
              </w:tc>
              <w:tc>
                <w:tcPr>
                  <w:tcW w:w="2282" w:type="dxa"/>
                  <w:gridSpan w:val="2"/>
                  <w:vAlign w:val="center"/>
                </w:tcPr>
                <w:p>
                  <w:pPr>
                    <w:pStyle w:val="47"/>
                    <w:widowControl/>
                    <w:spacing w:after="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8</w:t>
                  </w:r>
                  <w:r>
                    <w:rPr>
                      <w:rFonts w:hint="default" w:ascii="Times New Roman" w:hAnsi="Times New Roman" w:eastAsia="宋体" w:cs="Times New Roman"/>
                      <w:sz w:val="21"/>
                      <w:szCs w:val="21"/>
                    </w:rPr>
                    <w:t>月</w:t>
                  </w:r>
                  <w:r>
                    <w:rPr>
                      <w:rFonts w:hint="default"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rPr>
                    <w:t>日</w:t>
                  </w:r>
                </w:p>
              </w:tc>
              <w:tc>
                <w:tcPr>
                  <w:tcW w:w="2570" w:type="dxa"/>
                  <w:gridSpan w:val="2"/>
                  <w:vMerge w:val="continue"/>
                </w:tcPr>
                <w:p>
                  <w:pPr>
                    <w:pStyle w:val="47"/>
                    <w:widowControl/>
                    <w:spacing w:after="0"/>
                    <w:rPr>
                      <w:rFonts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829" w:type="dxa"/>
                  <w:vMerge w:val="continue"/>
                  <w:vAlign w:val="center"/>
                </w:tcPr>
                <w:p>
                  <w:pPr>
                    <w:pStyle w:val="47"/>
                    <w:widowControl/>
                    <w:spacing w:after="0"/>
                    <w:rPr>
                      <w:rFonts w:hint="eastAsia" w:ascii="宋体" w:hAnsi="宋体" w:eastAsia="宋体" w:cs="宋体"/>
                      <w:sz w:val="21"/>
                      <w:szCs w:val="21"/>
                    </w:rPr>
                  </w:pPr>
                </w:p>
              </w:tc>
              <w:tc>
                <w:tcPr>
                  <w:tcW w:w="1068" w:type="dxa"/>
                  <w:vMerge w:val="continue"/>
                  <w:vAlign w:val="center"/>
                </w:tcPr>
                <w:p>
                  <w:pPr>
                    <w:pStyle w:val="47"/>
                    <w:widowControl/>
                    <w:spacing w:after="0"/>
                    <w:rPr>
                      <w:rFonts w:hint="eastAsia" w:ascii="宋体" w:hAnsi="宋体" w:eastAsia="宋体" w:cs="宋体"/>
                      <w:sz w:val="21"/>
                      <w:szCs w:val="21"/>
                    </w:rPr>
                  </w:pPr>
                </w:p>
              </w:tc>
              <w:tc>
                <w:tcPr>
                  <w:tcW w:w="1060"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昼间</w:t>
                  </w:r>
                </w:p>
              </w:tc>
              <w:tc>
                <w:tcPr>
                  <w:tcW w:w="1139"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夜间</w:t>
                  </w:r>
                </w:p>
              </w:tc>
              <w:tc>
                <w:tcPr>
                  <w:tcW w:w="1139"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昼间</w:t>
                  </w:r>
                </w:p>
              </w:tc>
              <w:tc>
                <w:tcPr>
                  <w:tcW w:w="1143"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夜间</w:t>
                  </w:r>
                </w:p>
              </w:tc>
              <w:tc>
                <w:tcPr>
                  <w:tcW w:w="1353"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昼间</w:t>
                  </w:r>
                </w:p>
              </w:tc>
              <w:tc>
                <w:tcPr>
                  <w:tcW w:w="1217" w:type="dxa"/>
                  <w:vAlign w:val="center"/>
                </w:tcPr>
                <w:p>
                  <w:pPr>
                    <w:pStyle w:val="47"/>
                    <w:widowControl/>
                    <w:spacing w:after="0"/>
                    <w:rPr>
                      <w:rFonts w:ascii="宋体" w:hAnsi="宋体" w:eastAsia="宋体" w:cs="宋体"/>
                      <w:sz w:val="21"/>
                      <w:szCs w:val="21"/>
                    </w:rPr>
                  </w:pPr>
                  <w:r>
                    <w:rPr>
                      <w:rFonts w:hint="eastAsia" w:ascii="宋体" w:hAnsi="宋体" w:eastAsia="宋体" w:cs="宋体"/>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N1</w:t>
                  </w:r>
                </w:p>
              </w:tc>
              <w:tc>
                <w:tcPr>
                  <w:tcW w:w="1068"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厂界东</w:t>
                  </w:r>
                </w:p>
              </w:tc>
              <w:tc>
                <w:tcPr>
                  <w:tcW w:w="1060"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53.5</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47.5</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52.4</w:t>
                  </w:r>
                </w:p>
              </w:tc>
              <w:tc>
                <w:tcPr>
                  <w:tcW w:w="1143"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46.1</w:t>
                  </w:r>
                </w:p>
              </w:tc>
              <w:tc>
                <w:tcPr>
                  <w:tcW w:w="1353" w:type="dxa"/>
                  <w:vMerge w:val="restart"/>
                  <w:vAlign w:val="center"/>
                </w:tcPr>
                <w:p>
                  <w:pPr>
                    <w:pStyle w:val="47"/>
                    <w:widowControl/>
                    <w:spacing w:after="0"/>
                    <w:rPr>
                      <w:rFonts w:eastAsia="宋体"/>
                      <w:sz w:val="21"/>
                      <w:szCs w:val="21"/>
                    </w:rPr>
                  </w:pPr>
                  <w:r>
                    <w:rPr>
                      <w:rFonts w:eastAsia="宋体"/>
                      <w:sz w:val="21"/>
                      <w:szCs w:val="21"/>
                    </w:rPr>
                    <w:t>60</w:t>
                  </w:r>
                </w:p>
              </w:tc>
              <w:tc>
                <w:tcPr>
                  <w:tcW w:w="1217" w:type="dxa"/>
                  <w:vMerge w:val="restart"/>
                  <w:vAlign w:val="center"/>
                </w:tcPr>
                <w:p>
                  <w:pPr>
                    <w:pStyle w:val="47"/>
                    <w:widowControl/>
                    <w:spacing w:after="0"/>
                    <w:rPr>
                      <w:rFonts w:eastAsia="宋体"/>
                      <w:sz w:val="21"/>
                      <w:szCs w:val="21"/>
                    </w:rPr>
                  </w:pPr>
                  <w:r>
                    <w:rPr>
                      <w:rFonts w:eastAsia="宋体"/>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jc w:val="center"/>
              </w:trPr>
              <w:tc>
                <w:tcPr>
                  <w:tcW w:w="829"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N2</w:t>
                  </w:r>
                </w:p>
              </w:tc>
              <w:tc>
                <w:tcPr>
                  <w:tcW w:w="1068"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厂界南</w:t>
                  </w:r>
                </w:p>
              </w:tc>
              <w:tc>
                <w:tcPr>
                  <w:tcW w:w="1060"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55.5</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44.9</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55.8</w:t>
                  </w:r>
                </w:p>
              </w:tc>
              <w:tc>
                <w:tcPr>
                  <w:tcW w:w="1143"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45.8</w:t>
                  </w:r>
                </w:p>
              </w:tc>
              <w:tc>
                <w:tcPr>
                  <w:tcW w:w="1353" w:type="dxa"/>
                  <w:vMerge w:val="continue"/>
                  <w:vAlign w:val="center"/>
                </w:tcPr>
                <w:p>
                  <w:pPr>
                    <w:pStyle w:val="47"/>
                    <w:widowControl/>
                    <w:spacing w:after="0"/>
                    <w:rPr>
                      <w:rFonts w:eastAsia="宋体"/>
                      <w:sz w:val="21"/>
                      <w:szCs w:val="21"/>
                    </w:rPr>
                  </w:pPr>
                </w:p>
              </w:tc>
              <w:tc>
                <w:tcPr>
                  <w:tcW w:w="1217" w:type="dxa"/>
                  <w:vMerge w:val="continue"/>
                  <w:vAlign w:val="center"/>
                </w:tcPr>
                <w:p>
                  <w:pPr>
                    <w:pStyle w:val="47"/>
                    <w:widowControl/>
                    <w:spacing w:after="0"/>
                    <w:rPr>
                      <w:rFonts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0" w:hRule="atLeast"/>
                <w:jc w:val="center"/>
              </w:trPr>
              <w:tc>
                <w:tcPr>
                  <w:tcW w:w="829"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N3</w:t>
                  </w:r>
                </w:p>
              </w:tc>
              <w:tc>
                <w:tcPr>
                  <w:tcW w:w="1068"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厂界西</w:t>
                  </w:r>
                </w:p>
              </w:tc>
              <w:tc>
                <w:tcPr>
                  <w:tcW w:w="1060"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57.1</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44.3</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56.2</w:t>
                  </w:r>
                </w:p>
              </w:tc>
              <w:tc>
                <w:tcPr>
                  <w:tcW w:w="1143"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45.9</w:t>
                  </w:r>
                </w:p>
              </w:tc>
              <w:tc>
                <w:tcPr>
                  <w:tcW w:w="1353" w:type="dxa"/>
                  <w:vMerge w:val="continue"/>
                </w:tcPr>
                <w:p>
                  <w:pPr>
                    <w:pStyle w:val="47"/>
                    <w:widowControl/>
                    <w:spacing w:after="0"/>
                    <w:rPr>
                      <w:rFonts w:eastAsia="宋体"/>
                      <w:sz w:val="21"/>
                      <w:szCs w:val="21"/>
                    </w:rPr>
                  </w:pPr>
                </w:p>
              </w:tc>
              <w:tc>
                <w:tcPr>
                  <w:tcW w:w="1217" w:type="dxa"/>
                  <w:vMerge w:val="continue"/>
                </w:tcPr>
                <w:p>
                  <w:pPr>
                    <w:pStyle w:val="47"/>
                    <w:widowControl/>
                    <w:spacing w:after="0"/>
                    <w:rPr>
                      <w:rFonts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1" w:hRule="atLeast"/>
                <w:jc w:val="center"/>
              </w:trPr>
              <w:tc>
                <w:tcPr>
                  <w:tcW w:w="829"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N4</w:t>
                  </w:r>
                </w:p>
              </w:tc>
              <w:tc>
                <w:tcPr>
                  <w:tcW w:w="1068" w:type="dxa"/>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厂界北</w:t>
                  </w:r>
                </w:p>
              </w:tc>
              <w:tc>
                <w:tcPr>
                  <w:tcW w:w="1060"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51.0</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45.9</w:t>
                  </w:r>
                </w:p>
              </w:tc>
              <w:tc>
                <w:tcPr>
                  <w:tcW w:w="1139"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56.8</w:t>
                  </w:r>
                </w:p>
              </w:tc>
              <w:tc>
                <w:tcPr>
                  <w:tcW w:w="1143" w:type="dxa"/>
                  <w:vAlign w:val="center"/>
                </w:tcPr>
                <w:p>
                  <w:pPr>
                    <w:keepNext w:val="0"/>
                    <w:keepLines w:val="0"/>
                    <w:pageBreakBefore w:val="0"/>
                    <w:widowControl/>
                    <w:kinsoku/>
                    <w:wordWrap/>
                    <w:overflowPunct/>
                    <w:topLinePunct w:val="0"/>
                    <w:autoSpaceDE/>
                    <w:autoSpaceDN/>
                    <w:bidi w:val="0"/>
                    <w:adjustRightInd w:val="0"/>
                    <w:snapToGrid w:val="0"/>
                    <w:spacing w:after="0" w:line="240" w:lineRule="atLeast"/>
                    <w:ind w:left="0" w:lef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cs="Times New Roman"/>
                      <w:color w:val="auto"/>
                      <w:sz w:val="21"/>
                      <w:szCs w:val="21"/>
                      <w:lang w:val="en-US" w:eastAsia="zh-CN"/>
                    </w:rPr>
                    <w:t>45.3</w:t>
                  </w:r>
                </w:p>
              </w:tc>
              <w:tc>
                <w:tcPr>
                  <w:tcW w:w="1353" w:type="dxa"/>
                  <w:vMerge w:val="continue"/>
                </w:tcPr>
                <w:p>
                  <w:pPr>
                    <w:pStyle w:val="47"/>
                    <w:widowControl/>
                    <w:spacing w:after="0"/>
                    <w:rPr>
                      <w:rFonts w:eastAsia="宋体"/>
                      <w:sz w:val="21"/>
                      <w:szCs w:val="21"/>
                    </w:rPr>
                  </w:pPr>
                </w:p>
              </w:tc>
              <w:tc>
                <w:tcPr>
                  <w:tcW w:w="1217" w:type="dxa"/>
                  <w:vMerge w:val="continue"/>
                </w:tcPr>
                <w:p>
                  <w:pPr>
                    <w:pStyle w:val="47"/>
                    <w:widowControl/>
                    <w:spacing w:after="0"/>
                    <w:rPr>
                      <w:rFonts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82" w:hRule="atLeast"/>
                <w:jc w:val="center"/>
              </w:trPr>
              <w:tc>
                <w:tcPr>
                  <w:tcW w:w="1897" w:type="dxa"/>
                  <w:gridSpan w:val="2"/>
                  <w:vAlign w:val="center"/>
                </w:tcPr>
                <w:p>
                  <w:pPr>
                    <w:pStyle w:val="47"/>
                    <w:widowControl/>
                    <w:spacing w:after="0"/>
                    <w:rPr>
                      <w:rFonts w:hint="eastAsia" w:ascii="宋体" w:hAnsi="宋体" w:eastAsia="宋体" w:cs="宋体"/>
                      <w:sz w:val="21"/>
                      <w:szCs w:val="21"/>
                    </w:rPr>
                  </w:pPr>
                  <w:r>
                    <w:rPr>
                      <w:rFonts w:hint="eastAsia" w:ascii="宋体" w:hAnsi="宋体" w:eastAsia="宋体" w:cs="宋体"/>
                      <w:sz w:val="21"/>
                      <w:szCs w:val="21"/>
                    </w:rPr>
                    <w:t>达标情况</w:t>
                  </w:r>
                </w:p>
              </w:tc>
              <w:tc>
                <w:tcPr>
                  <w:tcW w:w="1060" w:type="dxa"/>
                  <w:vAlign w:val="center"/>
                </w:tcPr>
                <w:p>
                  <w:pPr>
                    <w:pStyle w:val="47"/>
                    <w:widowControl/>
                    <w:spacing w:after="0"/>
                    <w:rPr>
                      <w:rFonts w:eastAsia="宋体"/>
                      <w:sz w:val="21"/>
                      <w:szCs w:val="21"/>
                    </w:rPr>
                  </w:pPr>
                  <w:r>
                    <w:rPr>
                      <w:rFonts w:eastAsia="宋体"/>
                      <w:sz w:val="21"/>
                      <w:szCs w:val="21"/>
                    </w:rPr>
                    <w:t>达标</w:t>
                  </w:r>
                </w:p>
              </w:tc>
              <w:tc>
                <w:tcPr>
                  <w:tcW w:w="1139" w:type="dxa"/>
                  <w:vAlign w:val="center"/>
                </w:tcPr>
                <w:p>
                  <w:pPr>
                    <w:pStyle w:val="47"/>
                    <w:widowControl/>
                    <w:spacing w:after="0"/>
                    <w:rPr>
                      <w:rFonts w:eastAsia="宋体"/>
                      <w:sz w:val="21"/>
                      <w:szCs w:val="21"/>
                    </w:rPr>
                  </w:pPr>
                  <w:r>
                    <w:rPr>
                      <w:rFonts w:eastAsia="宋体"/>
                      <w:sz w:val="21"/>
                      <w:szCs w:val="21"/>
                    </w:rPr>
                    <w:t>达标</w:t>
                  </w:r>
                </w:p>
              </w:tc>
              <w:tc>
                <w:tcPr>
                  <w:tcW w:w="1139" w:type="dxa"/>
                  <w:vAlign w:val="center"/>
                </w:tcPr>
                <w:p>
                  <w:pPr>
                    <w:pStyle w:val="47"/>
                    <w:widowControl/>
                    <w:spacing w:after="0"/>
                    <w:rPr>
                      <w:rFonts w:eastAsia="宋体"/>
                      <w:sz w:val="21"/>
                      <w:szCs w:val="21"/>
                    </w:rPr>
                  </w:pPr>
                  <w:r>
                    <w:rPr>
                      <w:rFonts w:eastAsia="宋体"/>
                      <w:sz w:val="21"/>
                      <w:szCs w:val="21"/>
                    </w:rPr>
                    <w:t>达标</w:t>
                  </w:r>
                </w:p>
              </w:tc>
              <w:tc>
                <w:tcPr>
                  <w:tcW w:w="1143" w:type="dxa"/>
                  <w:vAlign w:val="center"/>
                </w:tcPr>
                <w:p>
                  <w:pPr>
                    <w:pStyle w:val="47"/>
                    <w:widowControl/>
                    <w:spacing w:after="0"/>
                    <w:rPr>
                      <w:rFonts w:eastAsia="宋体"/>
                      <w:sz w:val="21"/>
                      <w:szCs w:val="21"/>
                    </w:rPr>
                  </w:pPr>
                  <w:r>
                    <w:rPr>
                      <w:rFonts w:eastAsia="宋体"/>
                      <w:sz w:val="21"/>
                      <w:szCs w:val="21"/>
                    </w:rPr>
                    <w:t>达标</w:t>
                  </w:r>
                </w:p>
              </w:tc>
              <w:tc>
                <w:tcPr>
                  <w:tcW w:w="2570" w:type="dxa"/>
                  <w:gridSpan w:val="2"/>
                  <w:vAlign w:val="center"/>
                </w:tcPr>
                <w:p>
                  <w:pPr>
                    <w:pStyle w:val="47"/>
                    <w:widowControl/>
                    <w:spacing w:after="0"/>
                    <w:rPr>
                      <w:rFonts w:eastAsia="宋体"/>
                      <w:sz w:val="21"/>
                      <w:szCs w:val="21"/>
                    </w:rPr>
                  </w:pPr>
                  <w:r>
                    <w:rPr>
                      <w:rFonts w:eastAsia="宋体"/>
                      <w:sz w:val="21"/>
                      <w:szCs w:val="21"/>
                    </w:rPr>
                    <w:t>——</w:t>
                  </w:r>
                </w:p>
              </w:tc>
            </w:tr>
          </w:tbl>
          <w:p>
            <w:pPr>
              <w:pStyle w:val="46"/>
              <w:ind w:left="0" w:leftChars="0" w:firstLine="480" w:firstLineChars="200"/>
              <w:rPr>
                <w:rFonts w:ascii="宋体" w:hAnsi="宋体" w:eastAsia="宋体" w:cs="宋体"/>
                <w:sz w:val="24"/>
                <w:szCs w:val="24"/>
              </w:rPr>
            </w:pPr>
            <w:r>
              <w:rPr>
                <w:rFonts w:hint="eastAsia" w:ascii="宋体" w:hAnsi="宋体" w:eastAsia="宋体" w:cs="宋体"/>
                <w:sz w:val="24"/>
                <w:szCs w:val="24"/>
              </w:rPr>
              <w:t>由表7-</w:t>
            </w:r>
            <w:r>
              <w:rPr>
                <w:rFonts w:hint="eastAsia" w:ascii="宋体" w:hAnsi="宋体" w:eastAsia="宋体" w:cs="宋体"/>
                <w:sz w:val="24"/>
                <w:szCs w:val="24"/>
                <w:lang w:val="en-US" w:eastAsia="zh-CN"/>
              </w:rPr>
              <w:t>4</w:t>
            </w:r>
            <w:r>
              <w:rPr>
                <w:rFonts w:hint="eastAsia" w:eastAsia="宋体"/>
                <w:color w:val="000000"/>
                <w:szCs w:val="21"/>
                <w:lang w:eastAsia="zh-CN"/>
              </w:rPr>
              <w:t>监测</w:t>
            </w:r>
            <w:r>
              <w:rPr>
                <w:rFonts w:hint="eastAsia" w:ascii="宋体" w:hAnsi="宋体" w:eastAsia="宋体" w:cs="宋体"/>
                <w:sz w:val="24"/>
                <w:szCs w:val="24"/>
              </w:rPr>
              <w:t>结果显示，项目周边及敏感点昼间、夜间噪声值满足《工业企业厂界环境噪声排放标准》</w:t>
            </w:r>
            <w:r>
              <w:rPr>
                <w:rFonts w:hint="default" w:ascii="Times New Roman" w:hAnsi="Times New Roman" w:eastAsia="宋体" w:cs="Times New Roman"/>
                <w:sz w:val="24"/>
                <w:szCs w:val="24"/>
              </w:rPr>
              <w:t>（GB12348-2008）2</w:t>
            </w:r>
            <w:r>
              <w:rPr>
                <w:rFonts w:hint="eastAsia" w:ascii="宋体" w:hAnsi="宋体" w:eastAsia="宋体" w:cs="宋体"/>
                <w:sz w:val="24"/>
                <w:szCs w:val="24"/>
              </w:rPr>
              <w:t>类标准限值要求。</w:t>
            </w:r>
          </w:p>
          <w:p>
            <w:pPr>
              <w:pStyle w:val="7"/>
              <w:ind w:firstLine="180"/>
              <w:rPr>
                <w:sz w:val="18"/>
                <w:szCs w:val="18"/>
              </w:rPr>
            </w:pPr>
          </w:p>
        </w:tc>
      </w:tr>
    </w:tbl>
    <w:p>
      <w:pPr>
        <w:spacing w:after="0" w:line="360" w:lineRule="auto"/>
        <w:rPr>
          <w:rFonts w:eastAsia="仿宋_GB2312"/>
          <w:b/>
          <w:color w:val="000000"/>
          <w:sz w:val="21"/>
          <w:szCs w:val="21"/>
        </w:rPr>
      </w:pPr>
    </w:p>
    <w:p>
      <w:pPr>
        <w:pStyle w:val="20"/>
        <w:ind w:firstLine="0" w:firstLineChars="0"/>
        <w:rPr>
          <w:rFonts w:eastAsia="仿宋_GB2312"/>
          <w:b/>
          <w:color w:val="000000"/>
          <w:sz w:val="21"/>
          <w:szCs w:val="21"/>
        </w:rPr>
        <w:sectPr>
          <w:pgSz w:w="11906" w:h="16838"/>
          <w:pgMar w:top="1440" w:right="1800" w:bottom="1440" w:left="1800" w:header="708" w:footer="708" w:gutter="0"/>
          <w:cols w:space="720" w:num="1"/>
          <w:docGrid w:linePitch="360" w:charSpace="0"/>
        </w:sectPr>
      </w:pPr>
    </w:p>
    <w:p>
      <w:pPr>
        <w:spacing w:after="0" w:line="360" w:lineRule="auto"/>
        <w:rPr>
          <w:rFonts w:ascii="宋体" w:hAnsi="宋体" w:eastAsia="宋体" w:cs="宋体"/>
          <w:b/>
          <w:color w:val="000000"/>
          <w:sz w:val="32"/>
          <w:szCs w:val="32"/>
        </w:rPr>
      </w:pPr>
      <w:bookmarkStart w:id="19" w:name="_Toc26824_WPSOffice_Level1"/>
      <w:r>
        <w:rPr>
          <w:rFonts w:hint="eastAsia" w:ascii="宋体" w:hAnsi="宋体" w:eastAsia="宋体" w:cs="宋体"/>
          <w:b/>
          <w:color w:val="000000"/>
          <w:sz w:val="28"/>
          <w:szCs w:val="28"/>
        </w:rPr>
        <w:t xml:space="preserve">表八 </w:t>
      </w:r>
      <w:r>
        <w:rPr>
          <w:rFonts w:hint="eastAsia" w:ascii="宋体" w:hAnsi="宋体" w:eastAsia="宋体" w:cs="宋体"/>
          <w:b/>
          <w:color w:val="000000"/>
          <w:sz w:val="32"/>
          <w:szCs w:val="32"/>
        </w:rPr>
        <w:t xml:space="preserve"> 验收监测结论</w:t>
      </w:r>
      <w:bookmarkEnd w:id="19"/>
    </w:p>
    <w:tbl>
      <w:tblPr>
        <w:tblStyle w:val="18"/>
        <w:tblW w:w="892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19" w:hRule="atLeast"/>
          <w:jc w:val="center"/>
        </w:trPr>
        <w:tc>
          <w:tcPr>
            <w:tcW w:w="8924" w:type="dxa"/>
          </w:tcPr>
          <w:p>
            <w:pPr>
              <w:pStyle w:val="46"/>
              <w:keepNext w:val="0"/>
              <w:keepLines w:val="0"/>
              <w:pageBreakBefore w:val="0"/>
              <w:widowControl/>
              <w:kinsoku/>
              <w:wordWrap/>
              <w:overflowPunct/>
              <w:topLinePunct w:val="0"/>
              <w:autoSpaceDE/>
              <w:autoSpaceDN/>
              <w:bidi w:val="0"/>
              <w:adjustRightInd w:val="0"/>
              <w:snapToGrid w:val="0"/>
              <w:spacing w:after="0"/>
              <w:ind w:firstLine="422"/>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1、环保设施处理效率监测结果</w:t>
            </w:r>
          </w:p>
          <w:p>
            <w:pPr>
              <w:pStyle w:val="46"/>
              <w:keepNext w:val="0"/>
              <w:keepLines w:val="0"/>
              <w:pageBreakBefore w:val="0"/>
              <w:widowControl/>
              <w:kinsoku/>
              <w:wordWrap/>
              <w:overflowPunct/>
              <w:topLinePunct w:val="0"/>
              <w:autoSpaceDE/>
              <w:autoSpaceDN/>
              <w:bidi w:val="0"/>
              <w:adjustRightInd w:val="0"/>
              <w:snapToGrid w:val="0"/>
              <w:spacing w:after="100"/>
              <w:ind w:firstLine="422"/>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对于废水环保设施处理效率，环评报告表及批复未作要求。项目环评要求废气（油气）环保设施处理效率达到95%，实际废气（油气）处理效率为99.5%，达到环评要求处理效率。</w:t>
            </w:r>
          </w:p>
          <w:p>
            <w:pPr>
              <w:pStyle w:val="46"/>
              <w:keepNext w:val="0"/>
              <w:keepLines w:val="0"/>
              <w:pageBreakBefore w:val="0"/>
              <w:widowControl/>
              <w:kinsoku/>
              <w:wordWrap/>
              <w:overflowPunct/>
              <w:topLinePunct w:val="0"/>
              <w:autoSpaceDE/>
              <w:autoSpaceDN/>
              <w:bidi w:val="0"/>
              <w:adjustRightInd w:val="0"/>
              <w:snapToGrid w:val="0"/>
              <w:spacing w:after="0"/>
              <w:ind w:firstLine="422"/>
              <w:textAlignment w:val="auto"/>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2、</w:t>
            </w:r>
            <w:r>
              <w:rPr>
                <w:rFonts w:hint="eastAsia" w:ascii="宋体" w:hAnsi="宋体" w:eastAsia="宋体" w:cs="宋体"/>
                <w:b/>
                <w:bCs/>
                <w:sz w:val="24"/>
                <w:szCs w:val="24"/>
              </w:rPr>
              <w:t>污染物排放监测结果</w:t>
            </w:r>
          </w:p>
          <w:p>
            <w:pPr>
              <w:pStyle w:val="20"/>
              <w:keepNext w:val="0"/>
              <w:keepLines w:val="0"/>
              <w:pageBreakBefore w:val="0"/>
              <w:widowControl/>
              <w:kinsoku/>
              <w:wordWrap/>
              <w:overflowPunct/>
              <w:topLinePunct w:val="0"/>
              <w:autoSpaceDE/>
              <w:autoSpaceDN/>
              <w:bidi w:val="0"/>
              <w:adjustRightInd w:val="0"/>
              <w:snapToGrid w:val="0"/>
              <w:spacing w:after="0" w:line="600" w:lineRule="exact"/>
              <w:ind w:firstLine="480"/>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rPr>
              <w:t>（1）</w:t>
            </w:r>
            <w:r>
              <w:rPr>
                <w:rFonts w:hint="eastAsia" w:ascii="宋体" w:hAnsi="宋体" w:eastAsia="宋体" w:cs="宋体"/>
                <w:b w:val="0"/>
                <w:bCs w:val="0"/>
                <w:lang w:eastAsia="zh-CN"/>
              </w:rPr>
              <w:t>有</w:t>
            </w:r>
            <w:r>
              <w:rPr>
                <w:rFonts w:hint="eastAsia" w:ascii="宋体" w:hAnsi="宋体" w:eastAsia="宋体" w:cs="宋体"/>
                <w:b w:val="0"/>
                <w:bCs w:val="0"/>
                <w:color w:val="000000"/>
                <w:szCs w:val="21"/>
              </w:rPr>
              <w:t>组织废气</w:t>
            </w:r>
            <w:r>
              <w:rPr>
                <w:rFonts w:hint="eastAsia" w:ascii="宋体" w:hAnsi="宋体" w:eastAsia="宋体" w:cs="宋体"/>
                <w:b w:val="0"/>
                <w:bCs w:val="0"/>
                <w:color w:val="000000"/>
                <w:szCs w:val="21"/>
                <w:lang w:eastAsia="zh-CN"/>
              </w:rPr>
              <w:t>（油气）。</w:t>
            </w:r>
            <w:r>
              <w:rPr>
                <w:rFonts w:hint="eastAsia" w:ascii="宋体" w:hAnsi="宋体" w:eastAsia="宋体" w:cs="宋体"/>
                <w:color w:val="auto"/>
                <w:sz w:val="24"/>
                <w:szCs w:val="24"/>
              </w:rPr>
              <w:t>由表7-</w:t>
            </w:r>
            <w:r>
              <w:rPr>
                <w:rFonts w:hint="eastAsia" w:eastAsia="宋体" w:cs="宋体"/>
                <w:color w:val="auto"/>
                <w:sz w:val="24"/>
                <w:szCs w:val="24"/>
                <w:lang w:val="en-US" w:eastAsia="zh-CN"/>
              </w:rPr>
              <w:t>1</w:t>
            </w:r>
            <w:r>
              <w:rPr>
                <w:rFonts w:hint="eastAsia" w:ascii="宋体" w:hAnsi="宋体" w:eastAsia="宋体" w:cs="宋体"/>
                <w:color w:val="auto"/>
                <w:sz w:val="24"/>
                <w:szCs w:val="24"/>
                <w:lang w:val="en-US" w:eastAsia="zh-CN"/>
              </w:rPr>
              <w:t>结果</w:t>
            </w:r>
            <w:r>
              <w:rPr>
                <w:rFonts w:hint="eastAsia" w:ascii="宋体" w:hAnsi="宋体" w:eastAsia="宋体" w:cs="宋体"/>
                <w:color w:val="auto"/>
                <w:sz w:val="24"/>
                <w:szCs w:val="24"/>
                <w:lang w:eastAsia="zh-CN"/>
              </w:rPr>
              <w:t>显示，</w:t>
            </w:r>
            <w:r>
              <w:rPr>
                <w:rFonts w:hint="eastAsia" w:ascii="宋体" w:hAnsi="宋体" w:eastAsia="宋体" w:cs="宋体"/>
                <w:b w:val="0"/>
                <w:bCs w:val="0"/>
                <w:lang w:eastAsia="zh-CN"/>
              </w:rPr>
              <w:t>有</w:t>
            </w:r>
            <w:r>
              <w:rPr>
                <w:rFonts w:hint="eastAsia" w:ascii="宋体" w:hAnsi="宋体" w:eastAsia="宋体" w:cs="宋体"/>
                <w:b w:val="0"/>
                <w:bCs w:val="0"/>
                <w:color w:val="000000"/>
                <w:szCs w:val="21"/>
              </w:rPr>
              <w:t>组织废气</w:t>
            </w:r>
            <w:r>
              <w:rPr>
                <w:rFonts w:hint="eastAsia" w:ascii="宋体" w:hAnsi="宋体" w:eastAsia="宋体" w:cs="宋体"/>
                <w:b w:val="0"/>
                <w:bCs w:val="0"/>
                <w:color w:val="000000"/>
                <w:szCs w:val="21"/>
                <w:lang w:eastAsia="zh-CN"/>
              </w:rPr>
              <w:t>满足</w:t>
            </w:r>
            <w:r>
              <w:rPr>
                <w:rFonts w:hint="eastAsia" w:ascii="宋体" w:hAnsi="宋体" w:eastAsia="宋体" w:cs="宋体"/>
                <w:sz w:val="24"/>
                <w:szCs w:val="24"/>
                <w:lang w:val="en-US" w:eastAsia="zh-CN"/>
              </w:rPr>
              <w:t>《储油库大气污染物排放标准》（GB20950-2007）中表1处理装置油气排放限值要求。</w:t>
            </w:r>
          </w:p>
          <w:p>
            <w:pPr>
              <w:pStyle w:val="20"/>
              <w:keepNext w:val="0"/>
              <w:keepLines w:val="0"/>
              <w:pageBreakBefore w:val="0"/>
              <w:widowControl/>
              <w:kinsoku/>
              <w:wordWrap/>
              <w:overflowPunct/>
              <w:topLinePunct w:val="0"/>
              <w:autoSpaceDE/>
              <w:autoSpaceDN/>
              <w:bidi w:val="0"/>
              <w:adjustRightInd w:val="0"/>
              <w:snapToGrid w:val="0"/>
              <w:spacing w:after="0" w:line="600" w:lineRule="exact"/>
              <w:ind w:firstLine="480"/>
              <w:textAlignment w:val="auto"/>
              <w:outlineLvl w:val="9"/>
              <w:rPr>
                <w:rFonts w:hint="eastAsia" w:ascii="宋体" w:hAnsi="宋体" w:eastAsia="宋体" w:cs="宋体"/>
                <w:color w:val="auto"/>
                <w:sz w:val="24"/>
                <w:szCs w:val="24"/>
              </w:rPr>
            </w:pPr>
            <w:r>
              <w:rPr>
                <w:rFonts w:hint="eastAsia" w:ascii="宋体" w:hAnsi="宋体" w:eastAsia="宋体" w:cs="宋体"/>
                <w:b w:val="0"/>
                <w:bCs w:val="0"/>
                <w:lang w:eastAsia="zh-CN"/>
              </w:rPr>
              <w:t>（</w:t>
            </w:r>
            <w:r>
              <w:rPr>
                <w:rFonts w:hint="eastAsia" w:ascii="宋体" w:hAnsi="宋体" w:eastAsia="宋体" w:cs="宋体"/>
                <w:b w:val="0"/>
                <w:bCs w:val="0"/>
                <w:lang w:val="en-US" w:eastAsia="zh-CN"/>
              </w:rPr>
              <w:t>2）</w:t>
            </w:r>
            <w:r>
              <w:rPr>
                <w:rFonts w:hint="eastAsia" w:ascii="宋体" w:hAnsi="宋体" w:eastAsia="宋体" w:cs="宋体"/>
                <w:color w:val="auto"/>
                <w:sz w:val="24"/>
                <w:szCs w:val="24"/>
                <w:lang w:eastAsia="zh-CN"/>
              </w:rPr>
              <w:t>废水</w:t>
            </w:r>
            <w:r>
              <w:rPr>
                <w:rFonts w:hint="eastAsia" w:ascii="宋体" w:hAnsi="宋体" w:eastAsia="宋体" w:cs="宋体"/>
                <w:color w:val="auto"/>
                <w:sz w:val="24"/>
                <w:szCs w:val="24"/>
              </w:rPr>
              <w:t>。由表7-</w:t>
            </w:r>
            <w:r>
              <w:rPr>
                <w:rFonts w:hint="eastAsia" w:eastAsia="宋体" w:cs="宋体"/>
                <w:color w:val="auto"/>
                <w:sz w:val="24"/>
                <w:szCs w:val="24"/>
                <w:lang w:val="en-US" w:eastAsia="zh-CN"/>
              </w:rPr>
              <w:t>2</w:t>
            </w:r>
            <w:r>
              <w:rPr>
                <w:rFonts w:hint="eastAsia" w:ascii="宋体" w:hAnsi="宋体" w:eastAsia="宋体" w:cs="宋体"/>
                <w:color w:val="auto"/>
                <w:sz w:val="24"/>
                <w:szCs w:val="24"/>
                <w:lang w:eastAsia="zh-CN"/>
              </w:rPr>
              <w:t>结果显示，油水分离池废水出口各项指标均满足《</w:t>
            </w:r>
            <w:r>
              <w:rPr>
                <w:rFonts w:hint="eastAsia" w:eastAsia="宋体" w:cs="宋体"/>
                <w:color w:val="auto"/>
                <w:sz w:val="24"/>
                <w:szCs w:val="24"/>
                <w:lang w:eastAsia="zh-CN"/>
              </w:rPr>
              <w:t>污水综合</w:t>
            </w:r>
            <w:r>
              <w:rPr>
                <w:rFonts w:hint="eastAsia" w:ascii="宋体" w:hAnsi="宋体" w:eastAsia="宋体" w:cs="宋体"/>
                <w:color w:val="auto"/>
                <w:sz w:val="24"/>
                <w:szCs w:val="24"/>
                <w:lang w:eastAsia="zh-CN"/>
              </w:rPr>
              <w:t>排放标准》（GB8978-1996）表4一级标准限要求</w:t>
            </w:r>
            <w:r>
              <w:rPr>
                <w:rFonts w:hint="eastAsia" w:ascii="宋体" w:hAnsi="宋体" w:eastAsia="宋体" w:cs="宋体"/>
                <w:color w:val="auto"/>
                <w:sz w:val="24"/>
                <w:szCs w:val="24"/>
              </w:rPr>
              <w:t>。</w:t>
            </w:r>
          </w:p>
          <w:p>
            <w:pPr>
              <w:pStyle w:val="46"/>
              <w:keepNext w:val="0"/>
              <w:keepLines w:val="0"/>
              <w:pageBreakBefore w:val="0"/>
              <w:widowControl/>
              <w:kinsoku/>
              <w:wordWrap/>
              <w:overflowPunct/>
              <w:topLinePunct w:val="0"/>
              <w:autoSpaceDE/>
              <w:autoSpaceDN/>
              <w:bidi w:val="0"/>
              <w:adjustRightInd w:val="0"/>
              <w:snapToGrid w:val="0"/>
              <w:spacing w:after="0" w:line="600" w:lineRule="exact"/>
              <w:ind w:left="0" w:leftChars="0" w:firstLine="480" w:firstLineChars="20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）无组织废气。由表7-</w:t>
            </w:r>
            <w:r>
              <w:rPr>
                <w:rFonts w:hint="eastAsia" w:ascii="宋体" w:hAnsi="宋体" w:eastAsia="宋体" w:cs="宋体"/>
                <w:color w:val="auto"/>
                <w:sz w:val="24"/>
                <w:szCs w:val="24"/>
                <w:lang w:val="en-US" w:eastAsia="zh-CN"/>
              </w:rPr>
              <w:t>3结果</w:t>
            </w:r>
            <w:r>
              <w:rPr>
                <w:rFonts w:hint="eastAsia" w:ascii="宋体" w:hAnsi="宋体" w:eastAsia="宋体" w:cs="宋体"/>
                <w:color w:val="auto"/>
                <w:sz w:val="24"/>
                <w:szCs w:val="24"/>
                <w:lang w:eastAsia="zh-CN"/>
              </w:rPr>
              <w:t>显示</w:t>
            </w:r>
            <w:r>
              <w:rPr>
                <w:rFonts w:hint="eastAsia" w:ascii="宋体" w:hAnsi="宋体" w:eastAsia="宋体" w:cs="宋体"/>
                <w:color w:val="auto"/>
                <w:sz w:val="24"/>
                <w:szCs w:val="24"/>
              </w:rPr>
              <w:t>，</w:t>
            </w:r>
            <w:r>
              <w:rPr>
                <w:rFonts w:hint="eastAsia" w:ascii="宋体" w:hAnsi="宋体" w:eastAsia="宋体" w:cs="宋体"/>
                <w:sz w:val="24"/>
                <w:szCs w:val="24"/>
              </w:rPr>
              <w:t>无组织</w:t>
            </w:r>
            <w:r>
              <w:rPr>
                <w:rFonts w:hint="eastAsia" w:ascii="宋体" w:hAnsi="宋体" w:eastAsia="宋体" w:cs="宋体"/>
                <w:sz w:val="24"/>
                <w:szCs w:val="24"/>
                <w:lang w:eastAsia="zh-CN"/>
              </w:rPr>
              <w:t>废气</w:t>
            </w:r>
            <w:r>
              <w:rPr>
                <w:rFonts w:hint="eastAsia" w:ascii="宋体" w:hAnsi="宋体" w:eastAsia="宋体" w:cs="宋体"/>
                <w:kern w:val="0"/>
                <w:sz w:val="24"/>
                <w:szCs w:val="24"/>
                <w:lang w:eastAsia="zh-CN"/>
              </w:rPr>
              <w:t>非甲烷总烃</w:t>
            </w:r>
            <w:r>
              <w:rPr>
                <w:rFonts w:hint="eastAsia" w:ascii="宋体" w:hAnsi="宋体" w:eastAsia="宋体" w:cs="宋体"/>
                <w:sz w:val="24"/>
                <w:szCs w:val="24"/>
              </w:rPr>
              <w:t>满足《大气污染物综合排放标准》（GB16297-1996）表2标准限值</w:t>
            </w:r>
            <w:r>
              <w:rPr>
                <w:rFonts w:hint="eastAsia" w:ascii="宋体" w:hAnsi="宋体" w:eastAsia="宋体" w:cs="宋体"/>
                <w:sz w:val="24"/>
                <w:szCs w:val="24"/>
                <w:lang w:eastAsia="zh-CN"/>
              </w:rPr>
              <w:t>要求。</w:t>
            </w:r>
          </w:p>
          <w:p>
            <w:pPr>
              <w:pStyle w:val="46"/>
              <w:keepNext w:val="0"/>
              <w:keepLines w:val="0"/>
              <w:pageBreakBefore w:val="0"/>
              <w:widowControl/>
              <w:kinsoku/>
              <w:wordWrap/>
              <w:overflowPunct/>
              <w:topLinePunct w:val="0"/>
              <w:autoSpaceDE/>
              <w:autoSpaceDN/>
              <w:bidi w:val="0"/>
              <w:adjustRightInd w:val="0"/>
              <w:snapToGrid w:val="0"/>
              <w:spacing w:after="0" w:line="600" w:lineRule="exact"/>
              <w:ind w:firstLine="42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）厂界噪声。由表7-</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结果显示，项目周边昼间、夜间噪声值满足《工业企业厂界环境噪声排放标准》（GB 12348-2008）2类标准限值要求。</w:t>
            </w:r>
          </w:p>
          <w:p>
            <w:pPr>
              <w:pStyle w:val="46"/>
              <w:keepNext w:val="0"/>
              <w:keepLines w:val="0"/>
              <w:pageBreakBefore w:val="0"/>
              <w:widowControl/>
              <w:kinsoku/>
              <w:wordWrap/>
              <w:overflowPunct/>
              <w:topLinePunct w:val="0"/>
              <w:autoSpaceDE/>
              <w:autoSpaceDN/>
              <w:bidi w:val="0"/>
              <w:adjustRightInd w:val="0"/>
              <w:snapToGrid w:val="0"/>
              <w:spacing w:after="0"/>
              <w:ind w:firstLine="422"/>
              <w:textAlignment w:val="auto"/>
              <w:outlineLvl w:val="9"/>
              <w:rPr>
                <w:rFonts w:hint="eastAsia" w:ascii="宋体" w:hAnsi="宋体" w:eastAsia="宋体" w:cs="宋体"/>
                <w:b/>
                <w:bCs/>
                <w:sz w:val="24"/>
                <w:szCs w:val="24"/>
              </w:rPr>
            </w:pPr>
            <w:r>
              <w:rPr>
                <w:rFonts w:hint="eastAsia" w:ascii="宋体" w:hAnsi="宋体" w:eastAsia="宋体" w:cs="宋体"/>
                <w:b/>
                <w:bCs/>
                <w:sz w:val="24"/>
                <w:szCs w:val="24"/>
                <w:lang w:val="en-US" w:eastAsia="zh-CN"/>
              </w:rPr>
              <w:t>3</w:t>
            </w:r>
            <w:r>
              <w:rPr>
                <w:rFonts w:hint="eastAsia" w:ascii="宋体" w:hAnsi="宋体" w:eastAsia="宋体" w:cs="宋体"/>
                <w:b/>
                <w:bCs/>
                <w:sz w:val="24"/>
                <w:szCs w:val="24"/>
              </w:rPr>
              <w:t>、工程建设对环境的影响</w:t>
            </w:r>
          </w:p>
          <w:p>
            <w:pPr>
              <w:pStyle w:val="46"/>
              <w:keepNext w:val="0"/>
              <w:keepLines w:val="0"/>
              <w:pageBreakBefore w:val="0"/>
              <w:widowControl/>
              <w:kinsoku/>
              <w:wordWrap/>
              <w:overflowPunct/>
              <w:topLinePunct w:val="0"/>
              <w:autoSpaceDE/>
              <w:autoSpaceDN/>
              <w:bidi w:val="0"/>
              <w:adjustRightInd w:val="0"/>
              <w:snapToGrid w:val="0"/>
              <w:spacing w:after="0" w:line="600" w:lineRule="exact"/>
              <w:ind w:firstLine="420"/>
              <w:textAlignment w:val="auto"/>
              <w:outlineLvl w:val="9"/>
              <w:rPr>
                <w:rFonts w:hint="eastAsia" w:ascii="宋体" w:hAnsi="宋体" w:eastAsia="宋体" w:cs="宋体"/>
                <w:color w:val="auto"/>
                <w:sz w:val="24"/>
                <w:szCs w:val="24"/>
              </w:rPr>
            </w:pPr>
            <w:r>
              <w:rPr>
                <w:rFonts w:hint="eastAsia" w:ascii="宋体" w:hAnsi="宋体" w:eastAsia="宋体" w:cs="宋体"/>
                <w:color w:val="auto"/>
                <w:sz w:val="24"/>
                <w:szCs w:val="24"/>
                <w:lang w:eastAsia="zh-CN"/>
              </w:rPr>
              <w:t>项目油水分离池废水出口各项指标均满足《污水综合排放标准》（GB8978-1996）表4一级标准限要求；有组织废气满足《储油库大气污染物排放标准》（GB20950-2007）中表1处理装置油气排放限值要求；</w:t>
            </w:r>
            <w:r>
              <w:rPr>
                <w:rFonts w:hint="eastAsia" w:ascii="宋体" w:hAnsi="宋体" w:eastAsia="宋体" w:cs="宋体"/>
                <w:sz w:val="24"/>
                <w:szCs w:val="24"/>
              </w:rPr>
              <w:t>无组织</w:t>
            </w:r>
            <w:r>
              <w:rPr>
                <w:rFonts w:hint="eastAsia" w:ascii="宋体" w:hAnsi="宋体" w:eastAsia="宋体" w:cs="宋体"/>
                <w:sz w:val="24"/>
                <w:szCs w:val="24"/>
                <w:lang w:eastAsia="zh-CN"/>
              </w:rPr>
              <w:t>废气</w:t>
            </w:r>
            <w:r>
              <w:rPr>
                <w:rFonts w:hint="eastAsia" w:ascii="宋体" w:hAnsi="宋体" w:eastAsia="宋体" w:cs="宋体"/>
                <w:kern w:val="0"/>
                <w:sz w:val="24"/>
                <w:szCs w:val="24"/>
                <w:lang w:eastAsia="zh-CN"/>
              </w:rPr>
              <w:t>非甲烷总烃</w:t>
            </w:r>
            <w:r>
              <w:rPr>
                <w:rFonts w:hint="eastAsia" w:ascii="宋体" w:hAnsi="宋体" w:eastAsia="宋体" w:cs="宋体"/>
                <w:sz w:val="24"/>
                <w:szCs w:val="24"/>
              </w:rPr>
              <w:t>满足《大气污染物综合排放标准》（GB16297-1996）表2标准限值</w:t>
            </w:r>
            <w:r>
              <w:rPr>
                <w:rFonts w:hint="eastAsia" w:ascii="宋体" w:hAnsi="宋体" w:eastAsia="宋体" w:cs="宋体"/>
                <w:sz w:val="24"/>
                <w:szCs w:val="24"/>
                <w:lang w:eastAsia="zh-CN"/>
              </w:rPr>
              <w:t>要求；</w:t>
            </w:r>
            <w:r>
              <w:rPr>
                <w:rFonts w:hint="eastAsia" w:ascii="宋体" w:hAnsi="宋体" w:eastAsia="宋体" w:cs="宋体"/>
                <w:color w:val="auto"/>
                <w:sz w:val="24"/>
                <w:szCs w:val="24"/>
              </w:rPr>
              <w:t>项目周边昼间、夜间噪声值满足《工业企业厂界环境噪声排放标准》（GB12348-2008）2类标准限值要求</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对周边环境影响</w:t>
            </w:r>
            <w:r>
              <w:rPr>
                <w:rFonts w:hint="eastAsia" w:ascii="宋体" w:hAnsi="宋体" w:eastAsia="宋体" w:cs="宋体"/>
                <w:color w:val="auto"/>
                <w:sz w:val="24"/>
                <w:szCs w:val="24"/>
                <w:lang w:eastAsia="zh-CN"/>
              </w:rPr>
              <w:t>较小</w:t>
            </w:r>
            <w:r>
              <w:rPr>
                <w:rFonts w:hint="eastAsia" w:ascii="宋体" w:hAnsi="宋体" w:eastAsia="宋体" w:cs="宋体"/>
                <w:color w:val="auto"/>
                <w:sz w:val="24"/>
                <w:szCs w:val="24"/>
              </w:rPr>
              <w:t>。</w:t>
            </w:r>
          </w:p>
          <w:p>
            <w:pPr>
              <w:pStyle w:val="20"/>
              <w:ind w:left="0" w:leftChars="0" w:firstLine="0" w:firstLineChars="0"/>
              <w:jc w:val="both"/>
              <w:rPr>
                <w:rFonts w:eastAsia="宋体"/>
                <w:szCs w:val="24"/>
              </w:rPr>
            </w:pPr>
          </w:p>
        </w:tc>
      </w:tr>
    </w:tbl>
    <w:p>
      <w:pPr>
        <w:pStyle w:val="27"/>
        <w:spacing w:before="0" w:beforeAutospacing="0" w:after="0" w:afterAutospacing="0" w:line="360" w:lineRule="exact"/>
        <w:jc w:val="both"/>
        <w:outlineLvl w:val="0"/>
        <w:rPr>
          <w:b/>
          <w:color w:val="000000"/>
          <w:sz w:val="21"/>
          <w:szCs w:val="21"/>
        </w:rPr>
        <w:sectPr>
          <w:pgSz w:w="11906" w:h="16838"/>
          <w:pgMar w:top="1440" w:right="1800" w:bottom="1440" w:left="1800" w:header="708" w:footer="708" w:gutter="0"/>
          <w:cols w:space="720" w:num="1"/>
          <w:docGrid w:linePitch="360" w:charSpace="0"/>
        </w:sectPr>
      </w:pPr>
    </w:p>
    <w:p>
      <w:pPr>
        <w:spacing w:after="0" w:line="300" w:lineRule="exact"/>
        <w:jc w:val="center"/>
        <w:rPr>
          <w:rFonts w:eastAsia="黑体"/>
          <w:b/>
          <w:color w:val="000000"/>
          <w:sz w:val="28"/>
          <w:szCs w:val="28"/>
        </w:rPr>
      </w:pPr>
      <w:bookmarkStart w:id="20" w:name="_Toc21138_WPSOffice_Level1"/>
      <w:bookmarkStart w:id="21" w:name="_Toc18058_WPSOffice_Level1"/>
      <w:r>
        <w:rPr>
          <w:rFonts w:eastAsia="黑体"/>
          <w:b/>
          <w:color w:val="000000"/>
          <w:sz w:val="28"/>
          <w:szCs w:val="28"/>
        </w:rPr>
        <w:t>建设项目竣工环境保护</w:t>
      </w:r>
      <w:r>
        <w:rPr>
          <w:rFonts w:hint="eastAsia" w:eastAsia="黑体"/>
          <w:b/>
          <w:color w:val="000000"/>
          <w:sz w:val="28"/>
          <w:szCs w:val="28"/>
        </w:rPr>
        <w:t>“</w:t>
      </w:r>
      <w:r>
        <w:rPr>
          <w:rFonts w:eastAsia="黑体"/>
          <w:b/>
          <w:color w:val="000000"/>
          <w:sz w:val="28"/>
          <w:szCs w:val="28"/>
        </w:rPr>
        <w:t>三同时</w:t>
      </w:r>
      <w:r>
        <w:rPr>
          <w:rFonts w:hint="eastAsia" w:eastAsia="黑体"/>
          <w:b/>
          <w:color w:val="000000"/>
          <w:sz w:val="28"/>
          <w:szCs w:val="28"/>
        </w:rPr>
        <w:t>”</w:t>
      </w:r>
      <w:r>
        <w:rPr>
          <w:rFonts w:eastAsia="黑体"/>
          <w:b/>
          <w:color w:val="000000"/>
          <w:sz w:val="28"/>
          <w:szCs w:val="28"/>
        </w:rPr>
        <w:t>验收登记表</w:t>
      </w:r>
      <w:bookmarkEnd w:id="20"/>
      <w:bookmarkEnd w:id="21"/>
    </w:p>
    <w:p>
      <w:pPr>
        <w:spacing w:after="0" w:line="300" w:lineRule="exact"/>
        <w:jc w:val="center"/>
        <w:rPr>
          <w:rFonts w:eastAsia="黑体"/>
          <w:b/>
          <w:color w:val="000000"/>
          <w:sz w:val="21"/>
          <w:szCs w:val="21"/>
        </w:rPr>
      </w:pPr>
    </w:p>
    <w:p>
      <w:pPr>
        <w:spacing w:after="0"/>
        <w:rPr>
          <w:rFonts w:ascii="宋体" w:hAnsi="宋体" w:eastAsia="宋体"/>
          <w:b/>
          <w:color w:val="000000"/>
          <w:sz w:val="21"/>
          <w:szCs w:val="21"/>
        </w:rPr>
      </w:pPr>
      <w:bookmarkStart w:id="22" w:name="_Toc29714_WPSOffice_Level1"/>
      <w:r>
        <w:rPr>
          <w:rFonts w:ascii="宋体" w:hAnsi="宋体" w:eastAsia="宋体"/>
          <w:b/>
          <w:color w:val="000000"/>
          <w:sz w:val="21"/>
          <w:szCs w:val="21"/>
        </w:rPr>
        <w:t>填表单位（盖章）</w:t>
      </w:r>
      <w:r>
        <w:rPr>
          <w:rFonts w:ascii="宋体" w:hAnsi="宋体" w:eastAsia="宋体"/>
          <w:b/>
          <w:color w:val="000000"/>
          <w:kern w:val="2"/>
          <w:sz w:val="21"/>
          <w:szCs w:val="21"/>
        </w:rPr>
        <w:t>：</w:t>
      </w:r>
      <w:r>
        <w:rPr>
          <w:rFonts w:ascii="宋体" w:hAnsi="宋体" w:eastAsia="宋体"/>
          <w:b/>
          <w:color w:val="000000"/>
          <w:sz w:val="21"/>
          <w:szCs w:val="21"/>
        </w:rPr>
        <w:t xml:space="preserve">                  填表人（签字）：                              项目经办人（签字）：</w:t>
      </w:r>
      <w:bookmarkEnd w:id="22"/>
    </w:p>
    <w:tbl>
      <w:tblPr>
        <w:tblStyle w:val="18"/>
        <w:tblW w:w="15403"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769"/>
        <w:gridCol w:w="430"/>
        <w:gridCol w:w="356"/>
        <w:gridCol w:w="78"/>
        <w:gridCol w:w="394"/>
        <w:gridCol w:w="949"/>
        <w:gridCol w:w="1097"/>
        <w:gridCol w:w="987"/>
        <w:gridCol w:w="6"/>
        <w:gridCol w:w="511"/>
        <w:gridCol w:w="588"/>
        <w:gridCol w:w="1237"/>
        <w:gridCol w:w="217"/>
        <w:gridCol w:w="675"/>
        <w:gridCol w:w="197"/>
        <w:gridCol w:w="576"/>
        <w:gridCol w:w="735"/>
        <w:gridCol w:w="259"/>
        <w:gridCol w:w="1050"/>
        <w:gridCol w:w="421"/>
        <w:gridCol w:w="823"/>
        <w:gridCol w:w="171"/>
        <w:gridCol w:w="931"/>
        <w:gridCol w:w="23"/>
        <w:gridCol w:w="8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b/>
                <w:color w:val="000000"/>
                <w:kern w:val="2"/>
                <w:sz w:val="15"/>
                <w:szCs w:val="15"/>
              </w:rPr>
            </w:pPr>
            <w:r>
              <w:rPr>
                <w:rFonts w:eastAsia="宋体"/>
                <w:szCs w:val="21"/>
              </w:rPr>
              <w:t>项目名称</w:t>
            </w:r>
          </w:p>
        </w:tc>
        <w:tc>
          <w:tcPr>
            <w:tcW w:w="5396" w:type="dxa"/>
            <w:gridSpan w:val="10"/>
            <w:tcMar>
              <w:left w:w="57" w:type="dxa"/>
              <w:right w:w="57" w:type="dxa"/>
            </w:tcMar>
            <w:vAlign w:val="center"/>
          </w:tcPr>
          <w:p>
            <w:pPr>
              <w:pStyle w:val="47"/>
              <w:spacing w:after="0"/>
              <w:rPr>
                <w:color w:val="000000"/>
                <w:kern w:val="2"/>
                <w:sz w:val="15"/>
                <w:szCs w:val="15"/>
              </w:rPr>
            </w:pPr>
            <w:r>
              <w:rPr>
                <w:rFonts w:hint="eastAsia" w:eastAsia="宋体"/>
                <w:szCs w:val="21"/>
              </w:rPr>
              <w:t>中国石化销售有限公司贵州黔西南石油分公司晴隆油库建设项目</w:t>
            </w:r>
          </w:p>
        </w:tc>
        <w:tc>
          <w:tcPr>
            <w:tcW w:w="2129" w:type="dxa"/>
            <w:gridSpan w:val="3"/>
            <w:tcMar>
              <w:left w:w="57" w:type="dxa"/>
              <w:right w:w="57" w:type="dxa"/>
            </w:tcMar>
            <w:vAlign w:val="center"/>
          </w:tcPr>
          <w:p>
            <w:pPr>
              <w:pStyle w:val="47"/>
              <w:spacing w:after="0"/>
              <w:rPr>
                <w:b/>
                <w:color w:val="000000"/>
                <w:kern w:val="2"/>
                <w:sz w:val="15"/>
                <w:szCs w:val="15"/>
              </w:rPr>
            </w:pPr>
            <w:r>
              <w:rPr>
                <w:rFonts w:eastAsia="宋体"/>
                <w:szCs w:val="21"/>
              </w:rPr>
              <w:t>项目代码</w:t>
            </w:r>
          </w:p>
        </w:tc>
        <w:tc>
          <w:tcPr>
            <w:tcW w:w="1508" w:type="dxa"/>
            <w:gridSpan w:val="3"/>
            <w:tcMar>
              <w:left w:w="57" w:type="dxa"/>
              <w:right w:w="57" w:type="dxa"/>
            </w:tcMar>
            <w:vAlign w:val="center"/>
          </w:tcPr>
          <w:p>
            <w:pPr>
              <w:pStyle w:val="47"/>
              <w:spacing w:after="0"/>
              <w:rPr>
                <w:color w:val="000000"/>
                <w:kern w:val="2"/>
                <w:sz w:val="15"/>
                <w:szCs w:val="15"/>
              </w:rPr>
            </w:pPr>
          </w:p>
        </w:tc>
        <w:tc>
          <w:tcPr>
            <w:tcW w:w="1730" w:type="dxa"/>
            <w:gridSpan w:val="3"/>
            <w:tcMar>
              <w:left w:w="57" w:type="dxa"/>
              <w:right w:w="57" w:type="dxa"/>
            </w:tcMar>
            <w:vAlign w:val="center"/>
          </w:tcPr>
          <w:p>
            <w:pPr>
              <w:pStyle w:val="47"/>
              <w:spacing w:after="0"/>
              <w:rPr>
                <w:color w:val="000000"/>
                <w:kern w:val="2"/>
                <w:sz w:val="15"/>
                <w:szCs w:val="15"/>
              </w:rPr>
            </w:pPr>
            <w:r>
              <w:rPr>
                <w:rFonts w:eastAsia="宋体"/>
                <w:szCs w:val="21"/>
              </w:rPr>
              <w:t>建设地点</w:t>
            </w:r>
          </w:p>
        </w:tc>
        <w:tc>
          <w:tcPr>
            <w:tcW w:w="2844" w:type="dxa"/>
            <w:gridSpan w:val="5"/>
            <w:tcMar>
              <w:left w:w="57" w:type="dxa"/>
              <w:right w:w="57" w:type="dxa"/>
            </w:tcMar>
            <w:vAlign w:val="center"/>
          </w:tcPr>
          <w:p>
            <w:pPr>
              <w:pStyle w:val="47"/>
              <w:spacing w:after="0"/>
              <w:rPr>
                <w:color w:val="000000"/>
                <w:kern w:val="2"/>
                <w:sz w:val="15"/>
                <w:szCs w:val="15"/>
              </w:rPr>
            </w:pPr>
            <w:r>
              <w:rPr>
                <w:rFonts w:hint="eastAsia" w:ascii="宋体" w:hAnsi="宋体" w:eastAsia="宋体" w:cs="宋体"/>
                <w:color w:val="auto"/>
              </w:rPr>
              <w:t>晴隆县沙子镇沙子村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4"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行业类别（分类管理名录）</w:t>
            </w:r>
          </w:p>
        </w:tc>
        <w:tc>
          <w:tcPr>
            <w:tcW w:w="5396" w:type="dxa"/>
            <w:gridSpan w:val="10"/>
            <w:tcMar>
              <w:left w:w="57" w:type="dxa"/>
              <w:right w:w="57" w:type="dxa"/>
            </w:tcMar>
            <w:vAlign w:val="center"/>
          </w:tcPr>
          <w:p>
            <w:pPr>
              <w:pStyle w:val="47"/>
              <w:spacing w:after="0"/>
              <w:rPr>
                <w:color w:val="000000"/>
                <w:kern w:val="2"/>
                <w:sz w:val="15"/>
                <w:szCs w:val="15"/>
              </w:rPr>
            </w:pPr>
            <w:r>
              <w:rPr>
                <w:rFonts w:hint="eastAsia" w:ascii="宋体" w:hAnsi="宋体" w:eastAsia="宋体" w:cs="宋体"/>
                <w:color w:val="auto"/>
              </w:rPr>
              <w:t>其他仓储业G5990</w:t>
            </w:r>
          </w:p>
        </w:tc>
        <w:tc>
          <w:tcPr>
            <w:tcW w:w="2129" w:type="dxa"/>
            <w:gridSpan w:val="3"/>
            <w:tcMar>
              <w:left w:w="57" w:type="dxa"/>
              <w:right w:w="57" w:type="dxa"/>
            </w:tcMar>
            <w:vAlign w:val="center"/>
          </w:tcPr>
          <w:p>
            <w:pPr>
              <w:pStyle w:val="47"/>
              <w:spacing w:after="0"/>
              <w:rPr>
                <w:b/>
                <w:color w:val="000000"/>
                <w:kern w:val="2"/>
                <w:sz w:val="15"/>
                <w:szCs w:val="15"/>
              </w:rPr>
            </w:pPr>
            <w:r>
              <w:rPr>
                <w:rFonts w:eastAsia="宋体"/>
                <w:szCs w:val="21"/>
              </w:rPr>
              <w:t>建设性质</w:t>
            </w:r>
          </w:p>
        </w:tc>
        <w:tc>
          <w:tcPr>
            <w:tcW w:w="3238" w:type="dxa"/>
            <w:gridSpan w:val="6"/>
            <w:tcMar>
              <w:left w:w="57" w:type="dxa"/>
              <w:right w:w="57" w:type="dxa"/>
            </w:tcMar>
            <w:vAlign w:val="center"/>
          </w:tcPr>
          <w:p>
            <w:pPr>
              <w:pStyle w:val="47"/>
              <w:spacing w:after="0"/>
              <w:rPr>
                <w:color w:val="000000"/>
                <w:kern w:val="2"/>
                <w:sz w:val="15"/>
                <w:szCs w:val="15"/>
              </w:rPr>
            </w:pPr>
            <w:r>
              <w:rPr>
                <w:rFonts w:eastAsia="宋体"/>
                <w:szCs w:val="21"/>
              </w:rPr>
              <w:t>☑新建  □ 改扩建  □技术改造</w:t>
            </w:r>
          </w:p>
        </w:tc>
        <w:tc>
          <w:tcPr>
            <w:tcW w:w="994" w:type="dxa"/>
            <w:gridSpan w:val="2"/>
            <w:tcMar>
              <w:left w:w="57" w:type="dxa"/>
              <w:right w:w="57" w:type="dxa"/>
            </w:tcMar>
            <w:vAlign w:val="center"/>
          </w:tcPr>
          <w:p>
            <w:pPr>
              <w:pStyle w:val="47"/>
              <w:spacing w:after="0"/>
              <w:rPr>
                <w:b/>
                <w:color w:val="000000"/>
                <w:kern w:val="2"/>
                <w:sz w:val="18"/>
                <w:szCs w:val="18"/>
              </w:rPr>
            </w:pPr>
            <w:r>
              <w:rPr>
                <w:rFonts w:eastAsia="宋体"/>
                <w:szCs w:val="21"/>
              </w:rPr>
              <w:t>项目厂区中心经度/纬度</w:t>
            </w:r>
          </w:p>
        </w:tc>
        <w:tc>
          <w:tcPr>
            <w:tcW w:w="1850" w:type="dxa"/>
            <w:gridSpan w:val="3"/>
            <w:tcMar>
              <w:left w:w="57" w:type="dxa"/>
              <w:right w:w="57" w:type="dxa"/>
            </w:tcMar>
            <w:vAlign w:val="center"/>
          </w:tcPr>
          <w:p>
            <w:pPr>
              <w:pStyle w:val="47"/>
              <w:spacing w:after="0"/>
              <w:rPr>
                <w:rFonts w:hint="eastAsia"/>
                <w:color w:val="000000"/>
                <w:kern w:val="2"/>
                <w:sz w:val="18"/>
                <w:szCs w:val="18"/>
              </w:rPr>
            </w:pPr>
            <w:r>
              <w:rPr>
                <w:rFonts w:hint="eastAsia"/>
                <w:color w:val="000000"/>
                <w:kern w:val="2"/>
                <w:sz w:val="18"/>
                <w:szCs w:val="18"/>
                <w:lang w:val="en-US" w:eastAsia="zh-CN"/>
              </w:rPr>
              <w:t xml:space="preserve">E:  </w:t>
            </w:r>
            <w:r>
              <w:rPr>
                <w:rFonts w:hint="eastAsia"/>
                <w:color w:val="000000"/>
                <w:kern w:val="2"/>
                <w:sz w:val="18"/>
                <w:szCs w:val="18"/>
              </w:rPr>
              <w:t xml:space="preserve">105.136637 </w:t>
            </w:r>
          </w:p>
          <w:p>
            <w:pPr>
              <w:pStyle w:val="47"/>
              <w:spacing w:after="0"/>
              <w:rPr>
                <w:color w:val="000000"/>
                <w:kern w:val="2"/>
                <w:sz w:val="18"/>
                <w:szCs w:val="18"/>
              </w:rPr>
            </w:pPr>
            <w:r>
              <w:rPr>
                <w:rFonts w:hint="eastAsia"/>
                <w:color w:val="000000"/>
                <w:kern w:val="2"/>
                <w:sz w:val="18"/>
                <w:szCs w:val="18"/>
                <w:lang w:val="en-US" w:eastAsia="zh-CN"/>
              </w:rPr>
              <w:t xml:space="preserve">N : </w:t>
            </w:r>
            <w:r>
              <w:rPr>
                <w:rFonts w:hint="eastAsia"/>
                <w:color w:val="000000"/>
                <w:kern w:val="2"/>
                <w:sz w:val="18"/>
                <w:szCs w:val="18"/>
              </w:rPr>
              <w:t>25.794602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设计生产能力</w:t>
            </w:r>
          </w:p>
        </w:tc>
        <w:tc>
          <w:tcPr>
            <w:tcW w:w="5396" w:type="dxa"/>
            <w:gridSpan w:val="10"/>
            <w:tcMar>
              <w:left w:w="57" w:type="dxa"/>
              <w:right w:w="57" w:type="dxa"/>
            </w:tcMar>
            <w:vAlign w:val="center"/>
          </w:tcPr>
          <w:p>
            <w:pPr>
              <w:pStyle w:val="47"/>
              <w:spacing w:after="0"/>
              <w:rPr>
                <w:color w:val="000000"/>
                <w:kern w:val="2"/>
                <w:sz w:val="15"/>
                <w:szCs w:val="15"/>
              </w:rPr>
            </w:pPr>
            <w:r>
              <w:rPr>
                <w:rFonts w:hint="eastAsia" w:eastAsia="宋体"/>
                <w:szCs w:val="21"/>
                <w:lang w:val="en-US" w:eastAsia="zh-CN"/>
              </w:rPr>
              <w:t>储存12000</w:t>
            </w:r>
            <w:r>
              <w:rPr>
                <w:rFonts w:hint="default" w:ascii="Times New Roman" w:hAnsi="Times New Roman" w:eastAsia="宋体" w:cs="Times New Roman"/>
                <w:szCs w:val="21"/>
              </w:rPr>
              <w:t>m³</w:t>
            </w:r>
          </w:p>
        </w:tc>
        <w:tc>
          <w:tcPr>
            <w:tcW w:w="2129" w:type="dxa"/>
            <w:gridSpan w:val="3"/>
            <w:tcMar>
              <w:left w:w="57" w:type="dxa"/>
              <w:right w:w="57" w:type="dxa"/>
            </w:tcMar>
            <w:vAlign w:val="center"/>
          </w:tcPr>
          <w:p>
            <w:pPr>
              <w:pStyle w:val="47"/>
              <w:spacing w:after="0"/>
              <w:rPr>
                <w:color w:val="000000"/>
                <w:kern w:val="2"/>
                <w:sz w:val="15"/>
                <w:szCs w:val="15"/>
              </w:rPr>
            </w:pPr>
            <w:r>
              <w:rPr>
                <w:rFonts w:eastAsia="宋体"/>
                <w:szCs w:val="21"/>
              </w:rPr>
              <w:t>实际生产能力</w:t>
            </w:r>
          </w:p>
        </w:tc>
        <w:tc>
          <w:tcPr>
            <w:tcW w:w="1508" w:type="dxa"/>
            <w:gridSpan w:val="3"/>
            <w:tcMar>
              <w:left w:w="57" w:type="dxa"/>
              <w:right w:w="57" w:type="dxa"/>
            </w:tcMar>
            <w:vAlign w:val="center"/>
          </w:tcPr>
          <w:p>
            <w:pPr>
              <w:pStyle w:val="47"/>
              <w:spacing w:after="0"/>
              <w:rPr>
                <w:b/>
                <w:color w:val="000000"/>
                <w:kern w:val="2"/>
                <w:sz w:val="18"/>
                <w:szCs w:val="18"/>
              </w:rPr>
            </w:pPr>
            <w:r>
              <w:rPr>
                <w:rFonts w:eastAsia="宋体"/>
                <w:szCs w:val="21"/>
              </w:rPr>
              <w:t>10000</w:t>
            </w:r>
            <w:r>
              <w:rPr>
                <w:rFonts w:hint="default" w:ascii="Times New Roman" w:hAnsi="Times New Roman" w:eastAsia="宋体" w:cs="Times New Roman"/>
                <w:szCs w:val="21"/>
              </w:rPr>
              <w:t>m³</w:t>
            </w:r>
          </w:p>
        </w:tc>
        <w:tc>
          <w:tcPr>
            <w:tcW w:w="1730" w:type="dxa"/>
            <w:gridSpan w:val="3"/>
            <w:tcMar>
              <w:left w:w="57" w:type="dxa"/>
              <w:right w:w="57" w:type="dxa"/>
            </w:tcMar>
            <w:vAlign w:val="center"/>
          </w:tcPr>
          <w:p>
            <w:pPr>
              <w:pStyle w:val="47"/>
              <w:spacing w:after="0"/>
              <w:rPr>
                <w:color w:val="000000"/>
                <w:kern w:val="2"/>
                <w:sz w:val="15"/>
                <w:szCs w:val="15"/>
              </w:rPr>
            </w:pPr>
            <w:r>
              <w:rPr>
                <w:rFonts w:eastAsia="宋体"/>
                <w:szCs w:val="21"/>
              </w:rPr>
              <w:t>环评单位</w:t>
            </w:r>
          </w:p>
        </w:tc>
        <w:tc>
          <w:tcPr>
            <w:tcW w:w="2844" w:type="dxa"/>
            <w:gridSpan w:val="5"/>
            <w:tcMar>
              <w:left w:w="57" w:type="dxa"/>
              <w:right w:w="57" w:type="dxa"/>
            </w:tcMar>
            <w:vAlign w:val="center"/>
          </w:tcPr>
          <w:p>
            <w:pPr>
              <w:pStyle w:val="47"/>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环评文件审批机关</w:t>
            </w:r>
          </w:p>
        </w:tc>
        <w:tc>
          <w:tcPr>
            <w:tcW w:w="5396" w:type="dxa"/>
            <w:gridSpan w:val="10"/>
            <w:tcMar>
              <w:left w:w="57" w:type="dxa"/>
              <w:right w:w="57" w:type="dxa"/>
            </w:tcMar>
            <w:vAlign w:val="center"/>
          </w:tcPr>
          <w:p>
            <w:pPr>
              <w:pStyle w:val="47"/>
              <w:spacing w:after="0"/>
              <w:rPr>
                <w:rFonts w:hint="eastAsia" w:eastAsia="微软雅黑"/>
                <w:color w:val="000000"/>
                <w:kern w:val="2"/>
                <w:sz w:val="15"/>
                <w:szCs w:val="15"/>
                <w:lang w:eastAsia="zh-CN"/>
              </w:rPr>
            </w:pPr>
            <w:r>
              <w:rPr>
                <w:rFonts w:hint="eastAsia" w:ascii="宋体" w:hAnsi="宋体" w:eastAsia="宋体" w:cs="宋体"/>
                <w:color w:val="000000"/>
                <w:kern w:val="2"/>
                <w:sz w:val="21"/>
                <w:szCs w:val="21"/>
                <w:lang w:eastAsia="zh-CN"/>
              </w:rPr>
              <w:t>晴隆县环境保护局</w:t>
            </w:r>
          </w:p>
        </w:tc>
        <w:tc>
          <w:tcPr>
            <w:tcW w:w="2129" w:type="dxa"/>
            <w:gridSpan w:val="3"/>
            <w:tcMar>
              <w:left w:w="57" w:type="dxa"/>
              <w:right w:w="57" w:type="dxa"/>
            </w:tcMar>
            <w:vAlign w:val="center"/>
          </w:tcPr>
          <w:p>
            <w:pPr>
              <w:pStyle w:val="47"/>
              <w:spacing w:after="0"/>
              <w:rPr>
                <w:b/>
                <w:color w:val="000000"/>
                <w:kern w:val="2"/>
                <w:sz w:val="15"/>
                <w:szCs w:val="15"/>
              </w:rPr>
            </w:pPr>
            <w:r>
              <w:rPr>
                <w:rFonts w:eastAsia="宋体"/>
                <w:szCs w:val="21"/>
              </w:rPr>
              <w:t>审批文号</w:t>
            </w:r>
          </w:p>
        </w:tc>
        <w:tc>
          <w:tcPr>
            <w:tcW w:w="1508" w:type="dxa"/>
            <w:gridSpan w:val="3"/>
            <w:tcMar>
              <w:left w:w="57" w:type="dxa"/>
              <w:right w:w="57" w:type="dxa"/>
            </w:tcMar>
            <w:vAlign w:val="center"/>
          </w:tcPr>
          <w:p>
            <w:pPr>
              <w:pStyle w:val="47"/>
              <w:spacing w:after="0"/>
              <w:rPr>
                <w:color w:val="000000"/>
                <w:kern w:val="2"/>
                <w:sz w:val="15"/>
                <w:szCs w:val="15"/>
              </w:rPr>
            </w:pPr>
            <w:r>
              <w:rPr>
                <w:rFonts w:hint="eastAsia" w:eastAsia="宋体"/>
                <w:szCs w:val="21"/>
                <w:lang w:eastAsia="zh-CN"/>
              </w:rPr>
              <w:t>晴环核</w:t>
            </w:r>
            <w:r>
              <w:rPr>
                <w:rFonts w:eastAsia="宋体"/>
                <w:szCs w:val="21"/>
              </w:rPr>
              <w:t>[201</w:t>
            </w:r>
            <w:r>
              <w:rPr>
                <w:rFonts w:hint="eastAsia" w:eastAsia="宋体"/>
                <w:szCs w:val="21"/>
                <w:lang w:val="en-US" w:eastAsia="zh-CN"/>
              </w:rPr>
              <w:t>8</w:t>
            </w:r>
            <w:r>
              <w:rPr>
                <w:rFonts w:eastAsia="宋体"/>
                <w:szCs w:val="21"/>
              </w:rPr>
              <w:t>]</w:t>
            </w:r>
            <w:r>
              <w:rPr>
                <w:rFonts w:hint="eastAsia" w:eastAsia="宋体"/>
                <w:szCs w:val="21"/>
                <w:lang w:val="en-US" w:eastAsia="zh-CN"/>
              </w:rPr>
              <w:t>3</w:t>
            </w:r>
            <w:r>
              <w:rPr>
                <w:rFonts w:eastAsia="宋体"/>
                <w:szCs w:val="21"/>
              </w:rPr>
              <w:t>号</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环评文件类型</w:t>
            </w:r>
          </w:p>
        </w:tc>
        <w:tc>
          <w:tcPr>
            <w:tcW w:w="2844" w:type="dxa"/>
            <w:gridSpan w:val="5"/>
            <w:tcMar>
              <w:left w:w="57" w:type="dxa"/>
              <w:right w:w="57" w:type="dxa"/>
            </w:tcMar>
            <w:vAlign w:val="center"/>
          </w:tcPr>
          <w:p>
            <w:pPr>
              <w:pStyle w:val="47"/>
              <w:spacing w:after="0"/>
              <w:rPr>
                <w:color w:val="000000"/>
                <w:kern w:val="2"/>
                <w:sz w:val="15"/>
                <w:szCs w:val="15"/>
              </w:rPr>
            </w:pPr>
            <w:r>
              <w:rPr>
                <w:rFonts w:eastAsia="宋体"/>
                <w:szCs w:val="21"/>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开工日期</w:t>
            </w:r>
          </w:p>
        </w:tc>
        <w:tc>
          <w:tcPr>
            <w:tcW w:w="5396" w:type="dxa"/>
            <w:gridSpan w:val="10"/>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ascii="宋体" w:hAnsi="宋体" w:eastAsia="宋体" w:cs="宋体"/>
                <w:color w:val="000000"/>
                <w:kern w:val="2"/>
                <w:sz w:val="21"/>
                <w:szCs w:val="21"/>
                <w:lang w:val="en-US" w:eastAsia="zh-CN"/>
              </w:rPr>
              <w:t>2006年</w:t>
            </w:r>
          </w:p>
        </w:tc>
        <w:tc>
          <w:tcPr>
            <w:tcW w:w="2129" w:type="dxa"/>
            <w:gridSpan w:val="3"/>
            <w:tcMar>
              <w:left w:w="57" w:type="dxa"/>
              <w:right w:w="57" w:type="dxa"/>
            </w:tcMar>
            <w:vAlign w:val="center"/>
          </w:tcPr>
          <w:p>
            <w:pPr>
              <w:pStyle w:val="47"/>
              <w:spacing w:after="0"/>
              <w:rPr>
                <w:b/>
                <w:color w:val="000000"/>
                <w:kern w:val="2"/>
                <w:sz w:val="15"/>
                <w:szCs w:val="15"/>
              </w:rPr>
            </w:pPr>
            <w:r>
              <w:rPr>
                <w:rFonts w:eastAsia="宋体"/>
                <w:szCs w:val="21"/>
              </w:rPr>
              <w:t>竣工日期</w:t>
            </w:r>
          </w:p>
        </w:tc>
        <w:tc>
          <w:tcPr>
            <w:tcW w:w="1508" w:type="dxa"/>
            <w:gridSpan w:val="3"/>
            <w:tcMar>
              <w:left w:w="57" w:type="dxa"/>
              <w:right w:w="57" w:type="dxa"/>
            </w:tcMar>
            <w:vAlign w:val="center"/>
          </w:tcPr>
          <w:p>
            <w:pPr>
              <w:pStyle w:val="47"/>
              <w:spacing w:after="0"/>
              <w:rPr>
                <w:color w:val="000000"/>
                <w:kern w:val="2"/>
                <w:sz w:val="15"/>
                <w:szCs w:val="15"/>
              </w:rPr>
            </w:pPr>
            <w:r>
              <w:rPr>
                <w:rFonts w:eastAsia="宋体"/>
                <w:szCs w:val="21"/>
              </w:rPr>
              <w:t>20</w:t>
            </w:r>
            <w:r>
              <w:rPr>
                <w:rFonts w:hint="eastAsia" w:eastAsia="宋体"/>
                <w:szCs w:val="21"/>
                <w:lang w:val="en-US" w:eastAsia="zh-CN"/>
              </w:rPr>
              <w:t>0</w:t>
            </w:r>
            <w:r>
              <w:rPr>
                <w:rFonts w:hint="eastAsia" w:eastAsia="宋体"/>
                <w:szCs w:val="21"/>
              </w:rPr>
              <w:t>8</w:t>
            </w:r>
            <w:r>
              <w:rPr>
                <w:rFonts w:eastAsia="宋体"/>
                <w:szCs w:val="21"/>
              </w:rPr>
              <w:t>年</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排污许可证申领时间</w:t>
            </w:r>
          </w:p>
        </w:tc>
        <w:tc>
          <w:tcPr>
            <w:tcW w:w="2844" w:type="dxa"/>
            <w:gridSpan w:val="5"/>
            <w:tcMar>
              <w:left w:w="57" w:type="dxa"/>
              <w:right w:w="57" w:type="dxa"/>
            </w:tcMar>
            <w:vAlign w:val="center"/>
          </w:tcPr>
          <w:p>
            <w:pPr>
              <w:pStyle w:val="47"/>
              <w:spacing w:after="0"/>
              <w:rPr>
                <w:rFonts w:hint="eastAsia" w:eastAsia="微软雅黑"/>
                <w:color w:val="000000"/>
                <w:kern w:val="2"/>
                <w:sz w:val="15"/>
                <w:szCs w:val="15"/>
                <w:lang w:eastAsia="zh-CN"/>
              </w:rPr>
            </w:pPr>
            <w:r>
              <w:rPr>
                <w:rFonts w:hint="eastAsia" w:eastAsia="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环保设施设计单位</w:t>
            </w:r>
          </w:p>
        </w:tc>
        <w:tc>
          <w:tcPr>
            <w:tcW w:w="5396" w:type="dxa"/>
            <w:gridSpan w:val="10"/>
            <w:tcMar>
              <w:left w:w="57" w:type="dxa"/>
              <w:right w:w="57" w:type="dxa"/>
            </w:tcMar>
            <w:vAlign w:val="center"/>
          </w:tcPr>
          <w:p>
            <w:pPr>
              <w:pStyle w:val="47"/>
              <w:spacing w:after="0"/>
              <w:rPr>
                <w:rFonts w:hint="eastAsia" w:eastAsia="微软雅黑"/>
                <w:b/>
                <w:color w:val="000000"/>
                <w:sz w:val="15"/>
                <w:szCs w:val="15"/>
                <w:lang w:eastAsia="zh-CN"/>
              </w:rPr>
            </w:pPr>
            <w:r>
              <w:rPr>
                <w:rFonts w:hint="eastAsia" w:ascii="宋体" w:hAnsi="宋体" w:eastAsia="宋体" w:cs="宋体"/>
                <w:b w:val="0"/>
                <w:bCs/>
                <w:color w:val="000000"/>
                <w:sz w:val="21"/>
                <w:szCs w:val="21"/>
                <w:lang w:eastAsia="zh-CN"/>
              </w:rPr>
              <w:t>青岛海晏环境技术工程有限公司</w:t>
            </w:r>
          </w:p>
        </w:tc>
        <w:tc>
          <w:tcPr>
            <w:tcW w:w="2129" w:type="dxa"/>
            <w:gridSpan w:val="3"/>
            <w:tcMar>
              <w:left w:w="57" w:type="dxa"/>
              <w:right w:w="57" w:type="dxa"/>
            </w:tcMar>
            <w:vAlign w:val="center"/>
          </w:tcPr>
          <w:p>
            <w:pPr>
              <w:pStyle w:val="47"/>
              <w:spacing w:after="0"/>
              <w:rPr>
                <w:b/>
                <w:color w:val="000000"/>
                <w:sz w:val="15"/>
                <w:szCs w:val="15"/>
              </w:rPr>
            </w:pPr>
            <w:r>
              <w:rPr>
                <w:rFonts w:eastAsia="宋体"/>
                <w:szCs w:val="21"/>
              </w:rPr>
              <w:t>环保设施施工单位</w:t>
            </w:r>
          </w:p>
        </w:tc>
        <w:tc>
          <w:tcPr>
            <w:tcW w:w="1508" w:type="dxa"/>
            <w:gridSpan w:val="3"/>
            <w:tcMar>
              <w:left w:w="57" w:type="dxa"/>
              <w:right w:w="57" w:type="dxa"/>
            </w:tcMar>
            <w:vAlign w:val="center"/>
          </w:tcPr>
          <w:p>
            <w:pPr>
              <w:pStyle w:val="47"/>
              <w:spacing w:after="0"/>
              <w:rPr>
                <w:rFonts w:hint="eastAsia" w:eastAsia="微软雅黑"/>
                <w:color w:val="000000"/>
                <w:kern w:val="2"/>
                <w:sz w:val="15"/>
                <w:szCs w:val="15"/>
                <w:lang w:eastAsia="zh-CN"/>
              </w:rPr>
            </w:pPr>
            <w:r>
              <w:rPr>
                <w:rFonts w:hint="eastAsia" w:ascii="宋体" w:hAnsi="宋体" w:eastAsia="宋体" w:cs="宋体"/>
                <w:color w:val="000000"/>
                <w:kern w:val="2"/>
                <w:sz w:val="21"/>
                <w:szCs w:val="21"/>
                <w:lang w:eastAsia="zh-CN"/>
              </w:rPr>
              <w:t>中国石化销售有限公司贵州黔西南石油分公司</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本工程排污许可证编号</w:t>
            </w:r>
          </w:p>
        </w:tc>
        <w:tc>
          <w:tcPr>
            <w:tcW w:w="2844" w:type="dxa"/>
            <w:gridSpan w:val="5"/>
            <w:tcMar>
              <w:left w:w="57" w:type="dxa"/>
              <w:right w:w="57" w:type="dxa"/>
            </w:tcMar>
            <w:vAlign w:val="center"/>
          </w:tcPr>
          <w:p>
            <w:pPr>
              <w:pStyle w:val="47"/>
              <w:spacing w:after="0"/>
              <w:rPr>
                <w:rFonts w:hint="eastAsia" w:eastAsia="宋体"/>
                <w:color w:val="000000"/>
                <w:kern w:val="2"/>
                <w:sz w:val="15"/>
                <w:szCs w:val="15"/>
                <w:lang w:eastAsia="zh-CN"/>
              </w:rPr>
            </w:pPr>
            <w:r>
              <w:rPr>
                <w:rFonts w:hint="eastAsia" w:eastAsia="宋体"/>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14"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验收单位</w:t>
            </w:r>
          </w:p>
        </w:tc>
        <w:tc>
          <w:tcPr>
            <w:tcW w:w="5396" w:type="dxa"/>
            <w:gridSpan w:val="10"/>
            <w:tcMar>
              <w:left w:w="57" w:type="dxa"/>
              <w:right w:w="57" w:type="dxa"/>
            </w:tcMar>
            <w:vAlign w:val="center"/>
          </w:tcPr>
          <w:p>
            <w:pPr>
              <w:pStyle w:val="47"/>
              <w:spacing w:after="0"/>
              <w:rPr>
                <w:b/>
                <w:color w:val="000000"/>
                <w:kern w:val="2"/>
                <w:sz w:val="15"/>
                <w:szCs w:val="15"/>
              </w:rPr>
            </w:pPr>
            <w:r>
              <w:rPr>
                <w:rFonts w:hint="eastAsia" w:eastAsia="宋体"/>
                <w:szCs w:val="21"/>
              </w:rPr>
              <w:t>中国石化销售有限公司贵州黔西南石油分公司</w:t>
            </w:r>
          </w:p>
        </w:tc>
        <w:tc>
          <w:tcPr>
            <w:tcW w:w="2129" w:type="dxa"/>
            <w:gridSpan w:val="3"/>
            <w:tcMar>
              <w:left w:w="57" w:type="dxa"/>
              <w:right w:w="57" w:type="dxa"/>
            </w:tcMar>
            <w:vAlign w:val="center"/>
          </w:tcPr>
          <w:p>
            <w:pPr>
              <w:pStyle w:val="47"/>
              <w:spacing w:after="0"/>
              <w:rPr>
                <w:b/>
                <w:color w:val="000000"/>
                <w:kern w:val="2"/>
                <w:sz w:val="15"/>
                <w:szCs w:val="15"/>
              </w:rPr>
            </w:pPr>
            <w:r>
              <w:rPr>
                <w:rFonts w:eastAsia="宋体"/>
                <w:szCs w:val="21"/>
              </w:rPr>
              <w:t>环保设施监测单位</w:t>
            </w:r>
          </w:p>
        </w:tc>
        <w:tc>
          <w:tcPr>
            <w:tcW w:w="1508" w:type="dxa"/>
            <w:gridSpan w:val="3"/>
            <w:tcMar>
              <w:left w:w="57" w:type="dxa"/>
              <w:right w:w="57" w:type="dxa"/>
            </w:tcMar>
            <w:vAlign w:val="center"/>
          </w:tcPr>
          <w:p>
            <w:pPr>
              <w:pStyle w:val="47"/>
              <w:spacing w:after="0"/>
              <w:rPr>
                <w:color w:val="000000"/>
                <w:kern w:val="2"/>
                <w:sz w:val="15"/>
                <w:szCs w:val="15"/>
              </w:rPr>
            </w:pPr>
            <w:r>
              <w:rPr>
                <w:rFonts w:eastAsia="宋体"/>
                <w:szCs w:val="21"/>
              </w:rPr>
              <w:t>贵州省洪鑫环境检测服务有限公司</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验收监测时工况</w:t>
            </w:r>
          </w:p>
        </w:tc>
        <w:tc>
          <w:tcPr>
            <w:tcW w:w="2844" w:type="dxa"/>
            <w:gridSpan w:val="5"/>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color w:val="000000"/>
                <w:kern w:val="2"/>
                <w:sz w:val="21"/>
                <w:szCs w:val="21"/>
                <w:lang w:val="en-US" w:eastAsia="zh-CN"/>
              </w:rPr>
              <w:t>83.3%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rFonts w:eastAsia="宋体"/>
                <w:szCs w:val="21"/>
              </w:rPr>
            </w:pPr>
            <w:r>
              <w:rPr>
                <w:rFonts w:eastAsia="宋体"/>
                <w:szCs w:val="21"/>
              </w:rPr>
              <w:t>投资总概算</w:t>
            </w:r>
          </w:p>
          <w:p>
            <w:pPr>
              <w:pStyle w:val="47"/>
              <w:spacing w:after="0"/>
              <w:rPr>
                <w:color w:val="000000"/>
                <w:kern w:val="2"/>
                <w:sz w:val="15"/>
                <w:szCs w:val="15"/>
              </w:rPr>
            </w:pPr>
            <w:r>
              <w:rPr>
                <w:rFonts w:eastAsia="宋体"/>
                <w:szCs w:val="21"/>
              </w:rPr>
              <w:t>（万元）</w:t>
            </w:r>
          </w:p>
        </w:tc>
        <w:tc>
          <w:tcPr>
            <w:tcW w:w="5396" w:type="dxa"/>
            <w:gridSpan w:val="10"/>
            <w:tcMar>
              <w:left w:w="57" w:type="dxa"/>
              <w:right w:w="57" w:type="dxa"/>
            </w:tcMar>
            <w:vAlign w:val="center"/>
          </w:tcPr>
          <w:p>
            <w:pPr>
              <w:spacing w:after="0"/>
              <w:jc w:val="center"/>
              <w:rPr>
                <w:rFonts w:hint="eastAsia" w:ascii="Times New Roman" w:hAnsi="Times New Roman" w:eastAsia="微软雅黑"/>
                <w:b/>
                <w:color w:val="000000"/>
                <w:kern w:val="2"/>
                <w:sz w:val="21"/>
                <w:szCs w:val="21"/>
                <w:lang w:val="en-US" w:eastAsia="zh-CN"/>
              </w:rPr>
            </w:pPr>
            <w:r>
              <w:rPr>
                <w:rFonts w:hint="eastAsia" w:ascii="Times New Roman" w:hAnsi="Times New Roman"/>
                <w:b w:val="0"/>
                <w:bCs/>
                <w:color w:val="000000"/>
                <w:kern w:val="2"/>
                <w:sz w:val="21"/>
                <w:szCs w:val="21"/>
                <w:lang w:val="en-US" w:eastAsia="zh-CN"/>
              </w:rPr>
              <w:t>3000</w:t>
            </w:r>
          </w:p>
        </w:tc>
        <w:tc>
          <w:tcPr>
            <w:tcW w:w="2129" w:type="dxa"/>
            <w:gridSpan w:val="3"/>
            <w:tcMar>
              <w:left w:w="57" w:type="dxa"/>
              <w:right w:w="57" w:type="dxa"/>
            </w:tcMar>
            <w:vAlign w:val="center"/>
          </w:tcPr>
          <w:p>
            <w:pPr>
              <w:pStyle w:val="47"/>
              <w:spacing w:after="0"/>
              <w:rPr>
                <w:rFonts w:eastAsia="宋体"/>
                <w:szCs w:val="21"/>
              </w:rPr>
            </w:pPr>
            <w:r>
              <w:rPr>
                <w:rFonts w:eastAsia="宋体"/>
                <w:szCs w:val="21"/>
              </w:rPr>
              <w:t>环保投资总概算</w:t>
            </w:r>
          </w:p>
          <w:p>
            <w:pPr>
              <w:pStyle w:val="47"/>
              <w:spacing w:after="0"/>
              <w:rPr>
                <w:color w:val="000000"/>
                <w:kern w:val="2"/>
                <w:sz w:val="15"/>
                <w:szCs w:val="15"/>
              </w:rPr>
            </w:pPr>
            <w:r>
              <w:rPr>
                <w:rFonts w:eastAsia="宋体"/>
                <w:szCs w:val="21"/>
              </w:rPr>
              <w:t>（万元）</w:t>
            </w:r>
          </w:p>
        </w:tc>
        <w:tc>
          <w:tcPr>
            <w:tcW w:w="1508" w:type="dxa"/>
            <w:gridSpan w:val="3"/>
            <w:tcMar>
              <w:left w:w="57" w:type="dxa"/>
              <w:right w:w="57" w:type="dxa"/>
            </w:tcMar>
            <w:vAlign w:val="center"/>
          </w:tcPr>
          <w:p>
            <w:pPr>
              <w:spacing w:after="0"/>
              <w:jc w:val="center"/>
              <w:rPr>
                <w:rFonts w:hint="eastAsia" w:ascii="Times New Roman" w:hAnsi="Times New Roman" w:eastAsia="微软雅黑"/>
                <w:b/>
                <w:color w:val="000000"/>
                <w:kern w:val="2"/>
                <w:sz w:val="21"/>
                <w:szCs w:val="21"/>
                <w:lang w:val="en-US" w:eastAsia="zh-CN"/>
              </w:rPr>
            </w:pPr>
            <w:r>
              <w:rPr>
                <w:rFonts w:hint="eastAsia" w:ascii="Times New Roman" w:hAnsi="Times New Roman"/>
                <w:b w:val="0"/>
                <w:bCs/>
                <w:color w:val="000000"/>
                <w:kern w:val="2"/>
                <w:sz w:val="21"/>
                <w:szCs w:val="21"/>
                <w:lang w:val="en-US" w:eastAsia="zh-CN"/>
              </w:rPr>
              <w:t>101</w:t>
            </w:r>
          </w:p>
        </w:tc>
        <w:tc>
          <w:tcPr>
            <w:tcW w:w="1730" w:type="dxa"/>
            <w:gridSpan w:val="3"/>
            <w:tcMar>
              <w:left w:w="57" w:type="dxa"/>
              <w:right w:w="57" w:type="dxa"/>
            </w:tcMar>
            <w:vAlign w:val="center"/>
          </w:tcPr>
          <w:p>
            <w:pPr>
              <w:pStyle w:val="47"/>
              <w:spacing w:after="0"/>
              <w:rPr>
                <w:color w:val="000000"/>
                <w:kern w:val="2"/>
                <w:sz w:val="15"/>
                <w:szCs w:val="15"/>
              </w:rPr>
            </w:pPr>
            <w:r>
              <w:rPr>
                <w:rFonts w:eastAsia="宋体"/>
                <w:szCs w:val="21"/>
              </w:rPr>
              <w:t>所占比例（%）</w:t>
            </w:r>
          </w:p>
        </w:tc>
        <w:tc>
          <w:tcPr>
            <w:tcW w:w="2844" w:type="dxa"/>
            <w:gridSpan w:val="5"/>
            <w:tcMar>
              <w:left w:w="57" w:type="dxa"/>
              <w:right w:w="57" w:type="dxa"/>
            </w:tcMar>
            <w:vAlign w:val="center"/>
          </w:tcPr>
          <w:p>
            <w:pPr>
              <w:pStyle w:val="47"/>
              <w:spacing w:after="0"/>
              <w:rPr>
                <w:rFonts w:hint="eastAsia" w:eastAsia="微软雅黑"/>
                <w:color w:val="000000"/>
                <w:kern w:val="2"/>
                <w:sz w:val="24"/>
                <w:szCs w:val="24"/>
                <w:lang w:val="en-US" w:eastAsia="zh-CN"/>
              </w:rPr>
            </w:pPr>
            <w:r>
              <w:rPr>
                <w:rFonts w:hint="eastAsia"/>
                <w:color w:val="000000"/>
                <w:kern w:val="2"/>
                <w:sz w:val="24"/>
                <w:szCs w:val="24"/>
                <w:lang w:val="en-US" w:eastAsia="zh-CN"/>
              </w:rPr>
              <w:t>3.37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实际总投资</w:t>
            </w:r>
          </w:p>
        </w:tc>
        <w:tc>
          <w:tcPr>
            <w:tcW w:w="5396" w:type="dxa"/>
            <w:gridSpan w:val="10"/>
            <w:tcMar>
              <w:left w:w="57" w:type="dxa"/>
              <w:right w:w="57" w:type="dxa"/>
            </w:tcMar>
            <w:vAlign w:val="center"/>
          </w:tcPr>
          <w:p>
            <w:pPr>
              <w:spacing w:after="0"/>
              <w:jc w:val="center"/>
              <w:rPr>
                <w:rFonts w:hint="eastAsia" w:ascii="Times New Roman" w:hAnsi="Times New Roman" w:eastAsia="微软雅黑"/>
                <w:color w:val="000000"/>
                <w:kern w:val="2"/>
                <w:sz w:val="21"/>
                <w:szCs w:val="21"/>
                <w:lang w:val="en-US" w:eastAsia="zh-CN"/>
              </w:rPr>
            </w:pPr>
            <w:r>
              <w:rPr>
                <w:rFonts w:hint="eastAsia" w:ascii="Times New Roman" w:hAnsi="Times New Roman"/>
                <w:color w:val="000000"/>
                <w:kern w:val="2"/>
                <w:sz w:val="21"/>
                <w:szCs w:val="21"/>
                <w:lang w:val="en-US" w:eastAsia="zh-CN"/>
              </w:rPr>
              <w:t>3000</w:t>
            </w:r>
          </w:p>
        </w:tc>
        <w:tc>
          <w:tcPr>
            <w:tcW w:w="2129" w:type="dxa"/>
            <w:gridSpan w:val="3"/>
            <w:tcMar>
              <w:left w:w="57" w:type="dxa"/>
              <w:right w:w="57" w:type="dxa"/>
            </w:tcMar>
            <w:vAlign w:val="center"/>
          </w:tcPr>
          <w:p>
            <w:pPr>
              <w:pStyle w:val="47"/>
              <w:spacing w:after="0"/>
              <w:rPr>
                <w:rFonts w:eastAsia="宋体"/>
                <w:szCs w:val="21"/>
              </w:rPr>
            </w:pPr>
            <w:r>
              <w:rPr>
                <w:rFonts w:eastAsia="宋体"/>
                <w:szCs w:val="21"/>
              </w:rPr>
              <w:t>实际环保投资</w:t>
            </w:r>
          </w:p>
          <w:p>
            <w:pPr>
              <w:pStyle w:val="47"/>
              <w:spacing w:after="0"/>
              <w:rPr>
                <w:b/>
                <w:color w:val="000000"/>
                <w:kern w:val="2"/>
                <w:sz w:val="15"/>
                <w:szCs w:val="15"/>
              </w:rPr>
            </w:pPr>
            <w:r>
              <w:rPr>
                <w:rFonts w:eastAsia="宋体"/>
                <w:szCs w:val="21"/>
              </w:rPr>
              <w:t>（万元）</w:t>
            </w:r>
          </w:p>
        </w:tc>
        <w:tc>
          <w:tcPr>
            <w:tcW w:w="1508" w:type="dxa"/>
            <w:gridSpan w:val="3"/>
            <w:tcMar>
              <w:left w:w="57" w:type="dxa"/>
              <w:right w:w="57" w:type="dxa"/>
            </w:tcMar>
            <w:vAlign w:val="center"/>
          </w:tcPr>
          <w:p>
            <w:pPr>
              <w:spacing w:after="0"/>
              <w:jc w:val="center"/>
              <w:rPr>
                <w:rFonts w:hint="eastAsia" w:ascii="Times New Roman" w:hAnsi="Times New Roman" w:eastAsia="微软雅黑"/>
                <w:color w:val="000000"/>
                <w:kern w:val="2"/>
                <w:sz w:val="21"/>
                <w:szCs w:val="21"/>
                <w:lang w:val="en-US" w:eastAsia="zh-CN"/>
              </w:rPr>
            </w:pPr>
            <w:r>
              <w:rPr>
                <w:rFonts w:hint="eastAsia" w:ascii="Times New Roman" w:hAnsi="Times New Roman"/>
                <w:color w:val="000000"/>
                <w:kern w:val="2"/>
                <w:sz w:val="21"/>
                <w:szCs w:val="21"/>
                <w:lang w:val="en-US" w:eastAsia="zh-CN"/>
              </w:rPr>
              <w:t>101</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所占比例（%）</w:t>
            </w:r>
          </w:p>
        </w:tc>
        <w:tc>
          <w:tcPr>
            <w:tcW w:w="2844" w:type="dxa"/>
            <w:gridSpan w:val="5"/>
            <w:tcMar>
              <w:left w:w="57" w:type="dxa"/>
              <w:right w:w="57" w:type="dxa"/>
            </w:tcMar>
            <w:vAlign w:val="center"/>
          </w:tcPr>
          <w:p>
            <w:pPr>
              <w:pStyle w:val="47"/>
              <w:spacing w:after="0"/>
              <w:rPr>
                <w:rFonts w:hint="eastAsia" w:eastAsia="微软雅黑"/>
                <w:color w:val="000000"/>
                <w:kern w:val="2"/>
                <w:sz w:val="24"/>
                <w:szCs w:val="24"/>
                <w:lang w:val="en-US" w:eastAsia="zh-CN"/>
              </w:rPr>
            </w:pPr>
            <w:r>
              <w:rPr>
                <w:rFonts w:hint="eastAsia"/>
                <w:color w:val="000000"/>
                <w:kern w:val="2"/>
                <w:sz w:val="24"/>
                <w:szCs w:val="24"/>
                <w:lang w:val="en-US" w:eastAsia="zh-CN"/>
              </w:rPr>
              <w:t>3.37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1"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废水治理（万元）</w:t>
            </w:r>
          </w:p>
        </w:tc>
        <w:tc>
          <w:tcPr>
            <w:tcW w:w="786" w:type="dxa"/>
            <w:gridSpan w:val="2"/>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color w:val="000000"/>
                <w:kern w:val="2"/>
                <w:szCs w:val="21"/>
                <w:lang w:val="en-US" w:eastAsia="zh-CN"/>
              </w:rPr>
              <w:t>44</w:t>
            </w:r>
          </w:p>
        </w:tc>
        <w:tc>
          <w:tcPr>
            <w:tcW w:w="1421" w:type="dxa"/>
            <w:gridSpan w:val="3"/>
            <w:tcMar>
              <w:left w:w="57" w:type="dxa"/>
              <w:right w:w="57" w:type="dxa"/>
            </w:tcMar>
            <w:vAlign w:val="center"/>
          </w:tcPr>
          <w:p>
            <w:pPr>
              <w:pStyle w:val="47"/>
              <w:spacing w:after="0"/>
              <w:rPr>
                <w:b/>
                <w:color w:val="000000"/>
                <w:kern w:val="2"/>
                <w:sz w:val="15"/>
                <w:szCs w:val="15"/>
              </w:rPr>
            </w:pPr>
            <w:r>
              <w:rPr>
                <w:rFonts w:eastAsia="宋体"/>
                <w:szCs w:val="21"/>
              </w:rPr>
              <w:t>废气治理（万元）</w:t>
            </w:r>
          </w:p>
        </w:tc>
        <w:tc>
          <w:tcPr>
            <w:tcW w:w="1097" w:type="dxa"/>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eastAsia="宋体"/>
                <w:szCs w:val="21"/>
                <w:lang w:val="en-US" w:eastAsia="zh-CN"/>
              </w:rPr>
              <w:t>20</w:t>
            </w:r>
          </w:p>
        </w:tc>
        <w:tc>
          <w:tcPr>
            <w:tcW w:w="1504" w:type="dxa"/>
            <w:gridSpan w:val="3"/>
            <w:tcMar>
              <w:left w:w="57" w:type="dxa"/>
              <w:right w:w="57" w:type="dxa"/>
            </w:tcMar>
            <w:vAlign w:val="center"/>
          </w:tcPr>
          <w:p>
            <w:pPr>
              <w:pStyle w:val="47"/>
              <w:spacing w:after="0"/>
              <w:rPr>
                <w:b/>
                <w:color w:val="000000"/>
                <w:kern w:val="2"/>
                <w:sz w:val="15"/>
                <w:szCs w:val="15"/>
              </w:rPr>
            </w:pPr>
            <w:r>
              <w:rPr>
                <w:rFonts w:eastAsia="宋体"/>
                <w:szCs w:val="21"/>
              </w:rPr>
              <w:t>噪声治理（万元）</w:t>
            </w:r>
          </w:p>
        </w:tc>
        <w:tc>
          <w:tcPr>
            <w:tcW w:w="588" w:type="dxa"/>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eastAsia="宋体"/>
                <w:szCs w:val="21"/>
                <w:lang w:val="en-US" w:eastAsia="zh-CN"/>
              </w:rPr>
              <w:t>20</w:t>
            </w:r>
          </w:p>
        </w:tc>
        <w:tc>
          <w:tcPr>
            <w:tcW w:w="2129" w:type="dxa"/>
            <w:gridSpan w:val="3"/>
            <w:tcMar>
              <w:left w:w="57" w:type="dxa"/>
              <w:right w:w="57" w:type="dxa"/>
            </w:tcMar>
            <w:vAlign w:val="center"/>
          </w:tcPr>
          <w:p>
            <w:pPr>
              <w:pStyle w:val="47"/>
              <w:spacing w:after="0"/>
              <w:rPr>
                <w:rFonts w:eastAsia="宋体"/>
                <w:szCs w:val="21"/>
              </w:rPr>
            </w:pPr>
            <w:r>
              <w:rPr>
                <w:rFonts w:eastAsia="宋体"/>
                <w:szCs w:val="21"/>
              </w:rPr>
              <w:t>固体废物治理</w:t>
            </w:r>
          </w:p>
          <w:p>
            <w:pPr>
              <w:pStyle w:val="47"/>
              <w:spacing w:after="0"/>
              <w:rPr>
                <w:color w:val="000000"/>
                <w:kern w:val="2"/>
                <w:sz w:val="15"/>
                <w:szCs w:val="15"/>
              </w:rPr>
            </w:pPr>
            <w:r>
              <w:rPr>
                <w:rFonts w:eastAsia="宋体"/>
                <w:szCs w:val="21"/>
              </w:rPr>
              <w:t>（万元）</w:t>
            </w:r>
          </w:p>
        </w:tc>
        <w:tc>
          <w:tcPr>
            <w:tcW w:w="1508" w:type="dxa"/>
            <w:gridSpan w:val="3"/>
            <w:tcMar>
              <w:left w:w="57" w:type="dxa"/>
              <w:right w:w="57" w:type="dxa"/>
            </w:tcMar>
            <w:vAlign w:val="center"/>
          </w:tcPr>
          <w:p>
            <w:pPr>
              <w:pStyle w:val="47"/>
              <w:spacing w:after="0"/>
              <w:rPr>
                <w:rFonts w:hint="eastAsia" w:eastAsia="微软雅黑"/>
                <w:color w:val="000000"/>
                <w:kern w:val="2"/>
                <w:sz w:val="15"/>
                <w:szCs w:val="15"/>
                <w:lang w:eastAsia="zh-CN"/>
              </w:rPr>
            </w:pPr>
            <w:r>
              <w:rPr>
                <w:rFonts w:hint="eastAsia" w:eastAsia="宋体"/>
                <w:szCs w:val="21"/>
                <w:lang w:val="en-US" w:eastAsia="zh-CN"/>
              </w:rPr>
              <w:t>2</w:t>
            </w:r>
          </w:p>
        </w:tc>
        <w:tc>
          <w:tcPr>
            <w:tcW w:w="1730" w:type="dxa"/>
            <w:gridSpan w:val="3"/>
            <w:tcMar>
              <w:left w:w="57" w:type="dxa"/>
              <w:right w:w="57" w:type="dxa"/>
            </w:tcMar>
            <w:vAlign w:val="center"/>
          </w:tcPr>
          <w:p>
            <w:pPr>
              <w:pStyle w:val="47"/>
              <w:spacing w:after="0"/>
              <w:rPr>
                <w:b/>
                <w:color w:val="000000"/>
                <w:kern w:val="2"/>
                <w:sz w:val="15"/>
                <w:szCs w:val="15"/>
              </w:rPr>
            </w:pPr>
            <w:r>
              <w:rPr>
                <w:rFonts w:eastAsia="宋体"/>
                <w:szCs w:val="21"/>
              </w:rPr>
              <w:t>绿化及生态（万元）</w:t>
            </w:r>
          </w:p>
        </w:tc>
        <w:tc>
          <w:tcPr>
            <w:tcW w:w="994" w:type="dxa"/>
            <w:gridSpan w:val="2"/>
            <w:tcMar>
              <w:left w:w="57" w:type="dxa"/>
              <w:right w:w="57" w:type="dxa"/>
            </w:tcMar>
            <w:vAlign w:val="center"/>
          </w:tcPr>
          <w:p>
            <w:pPr>
              <w:pStyle w:val="47"/>
              <w:spacing w:after="0"/>
              <w:rPr>
                <w:rFonts w:hint="eastAsia" w:eastAsia="微软雅黑"/>
                <w:color w:val="000000"/>
                <w:kern w:val="2"/>
                <w:sz w:val="15"/>
                <w:szCs w:val="15"/>
                <w:lang w:val="en-US" w:eastAsia="zh-CN"/>
              </w:rPr>
            </w:pPr>
            <w:r>
              <w:rPr>
                <w:rFonts w:hint="eastAsia" w:eastAsia="宋体"/>
                <w:szCs w:val="21"/>
                <w:lang w:val="en-US" w:eastAsia="zh-CN"/>
              </w:rPr>
              <w:t>15</w:t>
            </w:r>
          </w:p>
        </w:tc>
        <w:tc>
          <w:tcPr>
            <w:tcW w:w="954" w:type="dxa"/>
            <w:gridSpan w:val="2"/>
            <w:tcMar>
              <w:left w:w="57" w:type="dxa"/>
              <w:right w:w="57" w:type="dxa"/>
            </w:tcMar>
            <w:vAlign w:val="center"/>
          </w:tcPr>
          <w:p>
            <w:pPr>
              <w:pStyle w:val="47"/>
              <w:spacing w:after="0"/>
              <w:rPr>
                <w:b/>
                <w:color w:val="000000"/>
                <w:kern w:val="2"/>
                <w:sz w:val="15"/>
                <w:szCs w:val="15"/>
              </w:rPr>
            </w:pPr>
            <w:r>
              <w:rPr>
                <w:rFonts w:eastAsia="宋体"/>
                <w:szCs w:val="21"/>
              </w:rPr>
              <w:t>其他（万元）</w:t>
            </w:r>
          </w:p>
        </w:tc>
        <w:tc>
          <w:tcPr>
            <w:tcW w:w="896" w:type="dxa"/>
            <w:tcMar>
              <w:left w:w="57" w:type="dxa"/>
              <w:right w:w="57" w:type="dxa"/>
            </w:tcMar>
            <w:vAlign w:val="center"/>
          </w:tcPr>
          <w:p>
            <w:pPr>
              <w:pStyle w:val="47"/>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pStyle w:val="47"/>
              <w:spacing w:after="0"/>
              <w:rPr>
                <w:color w:val="000000"/>
                <w:kern w:val="2"/>
                <w:sz w:val="15"/>
                <w:szCs w:val="15"/>
              </w:rPr>
            </w:pPr>
            <w:r>
              <w:rPr>
                <w:rFonts w:eastAsia="宋体"/>
                <w:szCs w:val="21"/>
              </w:rPr>
              <w:t>新增废水处理设施能力</w:t>
            </w:r>
          </w:p>
        </w:tc>
        <w:tc>
          <w:tcPr>
            <w:tcW w:w="5396" w:type="dxa"/>
            <w:gridSpan w:val="10"/>
            <w:tcMar>
              <w:left w:w="57" w:type="dxa"/>
              <w:right w:w="57" w:type="dxa"/>
            </w:tcMar>
            <w:vAlign w:val="center"/>
          </w:tcPr>
          <w:p>
            <w:pPr>
              <w:pStyle w:val="47"/>
              <w:spacing w:after="0"/>
              <w:rPr>
                <w:color w:val="000000"/>
                <w:kern w:val="2"/>
                <w:sz w:val="15"/>
                <w:szCs w:val="15"/>
              </w:rPr>
            </w:pPr>
            <w:r>
              <w:rPr>
                <w:rFonts w:eastAsia="宋体"/>
                <w:szCs w:val="21"/>
              </w:rPr>
              <w:t>无</w:t>
            </w:r>
          </w:p>
        </w:tc>
        <w:tc>
          <w:tcPr>
            <w:tcW w:w="2129" w:type="dxa"/>
            <w:gridSpan w:val="3"/>
            <w:tcMar>
              <w:left w:w="57" w:type="dxa"/>
              <w:right w:w="57" w:type="dxa"/>
            </w:tcMar>
            <w:vAlign w:val="center"/>
          </w:tcPr>
          <w:p>
            <w:pPr>
              <w:pStyle w:val="47"/>
              <w:spacing w:after="0"/>
              <w:rPr>
                <w:color w:val="000000"/>
                <w:kern w:val="2"/>
                <w:sz w:val="15"/>
                <w:szCs w:val="15"/>
              </w:rPr>
            </w:pPr>
            <w:r>
              <w:rPr>
                <w:rFonts w:eastAsia="宋体"/>
                <w:szCs w:val="21"/>
              </w:rPr>
              <w:t>新增废气处理设施能力</w:t>
            </w:r>
          </w:p>
        </w:tc>
        <w:tc>
          <w:tcPr>
            <w:tcW w:w="1508" w:type="dxa"/>
            <w:gridSpan w:val="3"/>
            <w:tcMar>
              <w:left w:w="57" w:type="dxa"/>
              <w:right w:w="57" w:type="dxa"/>
            </w:tcMar>
            <w:vAlign w:val="center"/>
          </w:tcPr>
          <w:p>
            <w:pPr>
              <w:pStyle w:val="47"/>
              <w:spacing w:after="0"/>
              <w:rPr>
                <w:color w:val="000000"/>
                <w:kern w:val="2"/>
                <w:sz w:val="15"/>
                <w:szCs w:val="15"/>
              </w:rPr>
            </w:pPr>
            <w:r>
              <w:rPr>
                <w:rFonts w:eastAsia="宋体"/>
                <w:szCs w:val="21"/>
              </w:rPr>
              <w:t>无</w:t>
            </w:r>
          </w:p>
        </w:tc>
        <w:tc>
          <w:tcPr>
            <w:tcW w:w="1730" w:type="dxa"/>
            <w:gridSpan w:val="3"/>
            <w:tcMar>
              <w:left w:w="57" w:type="dxa"/>
              <w:right w:w="57" w:type="dxa"/>
            </w:tcMar>
            <w:vAlign w:val="center"/>
          </w:tcPr>
          <w:p>
            <w:pPr>
              <w:pStyle w:val="47"/>
              <w:spacing w:after="0"/>
              <w:rPr>
                <w:color w:val="000000"/>
                <w:kern w:val="2"/>
                <w:sz w:val="15"/>
                <w:szCs w:val="15"/>
              </w:rPr>
            </w:pPr>
            <w:r>
              <w:rPr>
                <w:rFonts w:eastAsia="宋体"/>
                <w:szCs w:val="21"/>
              </w:rPr>
              <w:t>年平均工作时</w:t>
            </w:r>
          </w:p>
        </w:tc>
        <w:tc>
          <w:tcPr>
            <w:tcW w:w="2844" w:type="dxa"/>
            <w:gridSpan w:val="5"/>
            <w:tcMar>
              <w:left w:w="57" w:type="dxa"/>
              <w:right w:w="57" w:type="dxa"/>
            </w:tcMar>
            <w:vAlign w:val="center"/>
          </w:tcPr>
          <w:p>
            <w:pPr>
              <w:pStyle w:val="47"/>
              <w:spacing w:after="0"/>
              <w:rPr>
                <w:color w:val="000000"/>
                <w:kern w:val="2"/>
                <w:sz w:val="15"/>
                <w:szCs w:val="15"/>
              </w:rPr>
            </w:pPr>
            <w:r>
              <w:rPr>
                <w:rFonts w:eastAsia="宋体"/>
                <w:szCs w:val="21"/>
              </w:rPr>
              <w:t>365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2226" w:type="dxa"/>
            <w:gridSpan w:val="3"/>
            <w:tcMar>
              <w:left w:w="57" w:type="dxa"/>
              <w:right w:w="57" w:type="dxa"/>
            </w:tcMar>
            <w:vAlign w:val="center"/>
          </w:tcPr>
          <w:p>
            <w:pPr>
              <w:pStyle w:val="47"/>
              <w:spacing w:after="0"/>
            </w:pPr>
            <w:r>
              <w:rPr>
                <w:rFonts w:eastAsia="宋体"/>
                <w:szCs w:val="21"/>
              </w:rPr>
              <w:t>运营单位</w:t>
            </w:r>
          </w:p>
        </w:tc>
        <w:tc>
          <w:tcPr>
            <w:tcW w:w="3861" w:type="dxa"/>
            <w:gridSpan w:val="6"/>
            <w:tcMar>
              <w:left w:w="57" w:type="dxa"/>
              <w:right w:w="57" w:type="dxa"/>
            </w:tcMar>
            <w:vAlign w:val="center"/>
          </w:tcPr>
          <w:p>
            <w:pPr>
              <w:pStyle w:val="47"/>
              <w:spacing w:after="0"/>
              <w:rPr>
                <w:color w:val="000000"/>
                <w:kern w:val="2"/>
                <w:sz w:val="15"/>
                <w:szCs w:val="15"/>
              </w:rPr>
            </w:pPr>
            <w:r>
              <w:rPr>
                <w:rFonts w:hint="eastAsia" w:eastAsia="宋体"/>
                <w:szCs w:val="21"/>
              </w:rPr>
              <w:t>中国石化销售有限公司贵州黔西南石油分公司</w:t>
            </w:r>
          </w:p>
        </w:tc>
        <w:tc>
          <w:tcPr>
            <w:tcW w:w="2559" w:type="dxa"/>
            <w:gridSpan w:val="5"/>
            <w:tcMar>
              <w:left w:w="57" w:type="dxa"/>
              <w:right w:w="57" w:type="dxa"/>
            </w:tcMar>
            <w:vAlign w:val="center"/>
          </w:tcPr>
          <w:p>
            <w:pPr>
              <w:pStyle w:val="47"/>
              <w:spacing w:after="0"/>
              <w:rPr>
                <w:color w:val="000000"/>
                <w:kern w:val="2"/>
                <w:sz w:val="15"/>
                <w:szCs w:val="15"/>
              </w:rPr>
            </w:pPr>
            <w:r>
              <w:rPr>
                <w:rFonts w:eastAsia="宋体"/>
                <w:szCs w:val="21"/>
              </w:rPr>
              <w:t>运营单位社会统一信用代码（或组织机构代码）</w:t>
            </w:r>
          </w:p>
        </w:tc>
        <w:tc>
          <w:tcPr>
            <w:tcW w:w="1448" w:type="dxa"/>
            <w:gridSpan w:val="3"/>
            <w:tcMar>
              <w:left w:w="57" w:type="dxa"/>
              <w:right w:w="57" w:type="dxa"/>
            </w:tcMar>
            <w:vAlign w:val="center"/>
          </w:tcPr>
          <w:p>
            <w:pPr>
              <w:pStyle w:val="47"/>
              <w:spacing w:after="0"/>
              <w:rPr>
                <w:rFonts w:hint="eastAsia" w:eastAsia="微软雅黑"/>
                <w:b/>
                <w:color w:val="000000"/>
                <w:kern w:val="2"/>
                <w:sz w:val="15"/>
                <w:szCs w:val="15"/>
                <w:lang w:val="en-US" w:eastAsia="zh-CN"/>
              </w:rPr>
            </w:pPr>
            <w:r>
              <w:rPr>
                <w:rFonts w:hint="default" w:ascii="Times New Roman" w:hAnsi="Times New Roman" w:cs="Times New Roman"/>
                <w:b w:val="0"/>
                <w:bCs/>
                <w:color w:val="000000"/>
                <w:kern w:val="2"/>
                <w:sz w:val="21"/>
                <w:szCs w:val="21"/>
                <w:lang w:val="en-US" w:eastAsia="zh-CN"/>
              </w:rPr>
              <w:t>91522300722129236R</w:t>
            </w:r>
          </w:p>
        </w:tc>
        <w:tc>
          <w:tcPr>
            <w:tcW w:w="994" w:type="dxa"/>
            <w:gridSpan w:val="2"/>
            <w:tcMar>
              <w:left w:w="57" w:type="dxa"/>
              <w:right w:w="57" w:type="dxa"/>
            </w:tcMar>
            <w:vAlign w:val="center"/>
          </w:tcPr>
          <w:p>
            <w:pPr>
              <w:pStyle w:val="47"/>
              <w:spacing w:after="0"/>
              <w:rPr>
                <w:rFonts w:eastAsia="宋体"/>
                <w:szCs w:val="21"/>
              </w:rPr>
            </w:pPr>
            <w:r>
              <w:rPr>
                <w:rFonts w:eastAsia="宋体"/>
                <w:szCs w:val="21"/>
              </w:rPr>
              <w:t>验收</w:t>
            </w:r>
          </w:p>
          <w:p>
            <w:pPr>
              <w:pStyle w:val="47"/>
              <w:spacing w:after="0"/>
              <w:rPr>
                <w:b/>
                <w:color w:val="000000"/>
                <w:kern w:val="2"/>
                <w:sz w:val="15"/>
                <w:szCs w:val="15"/>
              </w:rPr>
            </w:pPr>
            <w:r>
              <w:rPr>
                <w:rFonts w:eastAsia="宋体"/>
                <w:szCs w:val="21"/>
              </w:rPr>
              <w:t>时间</w:t>
            </w:r>
          </w:p>
        </w:tc>
        <w:tc>
          <w:tcPr>
            <w:tcW w:w="4315" w:type="dxa"/>
            <w:gridSpan w:val="7"/>
            <w:tcMar>
              <w:left w:w="57" w:type="dxa"/>
              <w:right w:w="57" w:type="dxa"/>
            </w:tcMar>
            <w:vAlign w:val="center"/>
          </w:tcPr>
          <w:p>
            <w:pPr>
              <w:pStyle w:val="47"/>
              <w:spacing w:after="0"/>
              <w:rPr>
                <w:color w:val="000000"/>
                <w:kern w:val="2"/>
                <w:sz w:val="15"/>
                <w:szCs w:val="15"/>
              </w:rPr>
            </w:pPr>
            <w:r>
              <w:rPr>
                <w:rFonts w:eastAsia="宋体"/>
                <w:szCs w:val="21"/>
              </w:rPr>
              <w:t>2018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restart"/>
            <w:tcMar>
              <w:left w:w="57" w:type="dxa"/>
              <w:right w:w="57" w:type="dxa"/>
            </w:tcMar>
            <w:vAlign w:val="center"/>
          </w:tcPr>
          <w:p>
            <w:pPr>
              <w:pStyle w:val="47"/>
              <w:spacing w:after="0"/>
              <w:rPr>
                <w:rFonts w:eastAsia="宋体"/>
                <w:szCs w:val="21"/>
              </w:rPr>
            </w:pPr>
            <w:r>
              <w:rPr>
                <w:rFonts w:eastAsia="宋体"/>
                <w:szCs w:val="21"/>
              </w:rPr>
              <w:t>污染物排放达标与总量</w:t>
            </w:r>
          </w:p>
          <w:p>
            <w:pPr>
              <w:pStyle w:val="47"/>
              <w:spacing w:after="0"/>
              <w:rPr>
                <w:color w:val="000000"/>
                <w:kern w:val="2"/>
                <w:sz w:val="15"/>
                <w:szCs w:val="15"/>
              </w:rPr>
            </w:pPr>
            <w:r>
              <w:rPr>
                <w:rFonts w:eastAsia="宋体"/>
                <w:szCs w:val="21"/>
              </w:rPr>
              <w:t>控制（工业建设项目详填）</w:t>
            </w:r>
          </w:p>
        </w:tc>
        <w:tc>
          <w:tcPr>
            <w:tcW w:w="1199" w:type="dxa"/>
            <w:gridSpan w:val="2"/>
            <w:tcMar>
              <w:left w:w="57" w:type="dxa"/>
              <w:right w:w="57" w:type="dxa"/>
            </w:tcMar>
            <w:vAlign w:val="center"/>
          </w:tcPr>
          <w:p>
            <w:pPr>
              <w:pStyle w:val="47"/>
              <w:spacing w:after="0"/>
            </w:pPr>
            <w:r>
              <w:rPr>
                <w:rFonts w:eastAsia="宋体"/>
                <w:szCs w:val="21"/>
              </w:rPr>
              <w:t>污染物</w:t>
            </w:r>
          </w:p>
        </w:tc>
        <w:tc>
          <w:tcPr>
            <w:tcW w:w="828" w:type="dxa"/>
            <w:gridSpan w:val="3"/>
            <w:tcMar>
              <w:left w:w="57" w:type="dxa"/>
              <w:right w:w="57" w:type="dxa"/>
            </w:tcMar>
            <w:vAlign w:val="center"/>
          </w:tcPr>
          <w:p>
            <w:pPr>
              <w:pStyle w:val="47"/>
              <w:spacing w:after="0"/>
              <w:rPr>
                <w:rFonts w:eastAsia="宋体"/>
                <w:szCs w:val="21"/>
              </w:rPr>
            </w:pPr>
            <w:r>
              <w:rPr>
                <w:rFonts w:eastAsia="宋体"/>
                <w:szCs w:val="21"/>
              </w:rPr>
              <w:t>原有排</w:t>
            </w:r>
          </w:p>
          <w:p>
            <w:pPr>
              <w:pStyle w:val="47"/>
              <w:spacing w:after="0"/>
              <w:rPr>
                <w:b/>
                <w:color w:val="000000"/>
                <w:kern w:val="2"/>
                <w:sz w:val="15"/>
                <w:szCs w:val="15"/>
              </w:rPr>
            </w:pPr>
            <w:r>
              <w:rPr>
                <w:rFonts w:eastAsia="宋体"/>
                <w:szCs w:val="21"/>
              </w:rPr>
              <w:t>放量(1)</w:t>
            </w:r>
          </w:p>
        </w:tc>
        <w:tc>
          <w:tcPr>
            <w:tcW w:w="949" w:type="dxa"/>
            <w:tcMar>
              <w:left w:w="57" w:type="dxa"/>
              <w:right w:w="57" w:type="dxa"/>
            </w:tcMar>
            <w:vAlign w:val="center"/>
          </w:tcPr>
          <w:p>
            <w:pPr>
              <w:pStyle w:val="47"/>
              <w:spacing w:after="0"/>
              <w:rPr>
                <w:b/>
                <w:color w:val="000000"/>
                <w:kern w:val="2"/>
                <w:sz w:val="15"/>
                <w:szCs w:val="15"/>
              </w:rPr>
            </w:pPr>
            <w:r>
              <w:rPr>
                <w:rFonts w:eastAsia="宋体"/>
                <w:szCs w:val="21"/>
              </w:rPr>
              <w:t>本期工程实际排放浓度(2)</w:t>
            </w:r>
          </w:p>
        </w:tc>
        <w:tc>
          <w:tcPr>
            <w:tcW w:w="1097" w:type="dxa"/>
            <w:tcMar>
              <w:left w:w="57" w:type="dxa"/>
              <w:right w:w="57" w:type="dxa"/>
            </w:tcMar>
            <w:vAlign w:val="center"/>
          </w:tcPr>
          <w:p>
            <w:pPr>
              <w:pStyle w:val="47"/>
              <w:spacing w:after="0"/>
              <w:rPr>
                <w:b/>
                <w:color w:val="000000"/>
                <w:kern w:val="2"/>
                <w:sz w:val="15"/>
                <w:szCs w:val="15"/>
              </w:rPr>
            </w:pPr>
            <w:r>
              <w:rPr>
                <w:rFonts w:eastAsia="宋体"/>
                <w:szCs w:val="21"/>
              </w:rPr>
              <w:t>本期工程允许排放浓度(3)</w:t>
            </w:r>
          </w:p>
        </w:tc>
        <w:tc>
          <w:tcPr>
            <w:tcW w:w="987" w:type="dxa"/>
            <w:tcMar>
              <w:left w:w="57" w:type="dxa"/>
              <w:right w:w="57" w:type="dxa"/>
            </w:tcMar>
            <w:vAlign w:val="center"/>
          </w:tcPr>
          <w:p>
            <w:pPr>
              <w:pStyle w:val="47"/>
              <w:spacing w:after="0"/>
              <w:rPr>
                <w:b/>
                <w:color w:val="000000"/>
                <w:kern w:val="2"/>
                <w:sz w:val="15"/>
                <w:szCs w:val="15"/>
              </w:rPr>
            </w:pPr>
            <w:r>
              <w:rPr>
                <w:rFonts w:eastAsia="宋体"/>
                <w:szCs w:val="21"/>
              </w:rPr>
              <w:t>本期工程产生量(4)</w:t>
            </w:r>
          </w:p>
        </w:tc>
        <w:tc>
          <w:tcPr>
            <w:tcW w:w="1105" w:type="dxa"/>
            <w:gridSpan w:val="3"/>
            <w:tcMar>
              <w:left w:w="57" w:type="dxa"/>
              <w:right w:w="57" w:type="dxa"/>
            </w:tcMar>
            <w:vAlign w:val="center"/>
          </w:tcPr>
          <w:p>
            <w:pPr>
              <w:pStyle w:val="47"/>
              <w:spacing w:after="0"/>
              <w:rPr>
                <w:b/>
                <w:color w:val="000000"/>
                <w:kern w:val="2"/>
                <w:sz w:val="15"/>
                <w:szCs w:val="15"/>
              </w:rPr>
            </w:pPr>
            <w:r>
              <w:rPr>
                <w:rFonts w:eastAsia="宋体"/>
                <w:szCs w:val="21"/>
              </w:rPr>
              <w:t>本期工程自身削减量(5)</w:t>
            </w:r>
          </w:p>
        </w:tc>
        <w:tc>
          <w:tcPr>
            <w:tcW w:w="1237" w:type="dxa"/>
            <w:tcMar>
              <w:left w:w="57" w:type="dxa"/>
              <w:right w:w="57" w:type="dxa"/>
            </w:tcMar>
            <w:vAlign w:val="center"/>
          </w:tcPr>
          <w:p>
            <w:pPr>
              <w:pStyle w:val="47"/>
              <w:spacing w:after="0"/>
              <w:rPr>
                <w:b/>
                <w:color w:val="000000"/>
                <w:kern w:val="2"/>
                <w:sz w:val="15"/>
                <w:szCs w:val="15"/>
              </w:rPr>
            </w:pPr>
            <w:r>
              <w:rPr>
                <w:rFonts w:eastAsia="宋体"/>
                <w:szCs w:val="21"/>
              </w:rPr>
              <w:t>本期工程实际排放量(6)</w:t>
            </w:r>
          </w:p>
        </w:tc>
        <w:tc>
          <w:tcPr>
            <w:tcW w:w="1089" w:type="dxa"/>
            <w:gridSpan w:val="3"/>
            <w:tcMar>
              <w:left w:w="57" w:type="dxa"/>
              <w:right w:w="57" w:type="dxa"/>
            </w:tcMar>
            <w:vAlign w:val="center"/>
          </w:tcPr>
          <w:p>
            <w:pPr>
              <w:pStyle w:val="47"/>
              <w:spacing w:after="0"/>
              <w:rPr>
                <w:b/>
                <w:color w:val="000000"/>
                <w:kern w:val="2"/>
                <w:sz w:val="15"/>
                <w:szCs w:val="15"/>
              </w:rPr>
            </w:pPr>
            <w:r>
              <w:rPr>
                <w:rFonts w:eastAsia="宋体"/>
                <w:szCs w:val="21"/>
              </w:rPr>
              <w:t>本期工程核定排放总量(7)</w:t>
            </w:r>
          </w:p>
        </w:tc>
        <w:tc>
          <w:tcPr>
            <w:tcW w:w="1311" w:type="dxa"/>
            <w:gridSpan w:val="2"/>
            <w:tcMar>
              <w:left w:w="57" w:type="dxa"/>
              <w:right w:w="57" w:type="dxa"/>
            </w:tcMar>
            <w:vAlign w:val="center"/>
          </w:tcPr>
          <w:p>
            <w:pPr>
              <w:pStyle w:val="47"/>
              <w:spacing w:after="0"/>
              <w:rPr>
                <w:b/>
                <w:color w:val="000000"/>
                <w:kern w:val="2"/>
                <w:sz w:val="15"/>
                <w:szCs w:val="15"/>
              </w:rPr>
            </w:pPr>
            <w:r>
              <w:rPr>
                <w:rFonts w:eastAsia="宋体"/>
                <w:szCs w:val="21"/>
              </w:rPr>
              <w:t>本期工程“以新带老”削减量(8)</w:t>
            </w:r>
          </w:p>
        </w:tc>
        <w:tc>
          <w:tcPr>
            <w:tcW w:w="1309" w:type="dxa"/>
            <w:gridSpan w:val="2"/>
            <w:tcMar>
              <w:left w:w="57" w:type="dxa"/>
              <w:right w:w="57" w:type="dxa"/>
            </w:tcMar>
            <w:vAlign w:val="center"/>
          </w:tcPr>
          <w:p>
            <w:pPr>
              <w:pStyle w:val="47"/>
              <w:spacing w:after="0"/>
              <w:rPr>
                <w:b/>
                <w:color w:val="000000"/>
                <w:kern w:val="2"/>
                <w:sz w:val="15"/>
                <w:szCs w:val="15"/>
              </w:rPr>
            </w:pPr>
            <w:r>
              <w:rPr>
                <w:rFonts w:eastAsia="宋体"/>
                <w:szCs w:val="21"/>
              </w:rPr>
              <w:t>全厂实际排放总量(9)</w:t>
            </w:r>
          </w:p>
        </w:tc>
        <w:tc>
          <w:tcPr>
            <w:tcW w:w="1244" w:type="dxa"/>
            <w:gridSpan w:val="2"/>
            <w:tcMar>
              <w:left w:w="57" w:type="dxa"/>
              <w:right w:w="57" w:type="dxa"/>
            </w:tcMar>
            <w:vAlign w:val="center"/>
          </w:tcPr>
          <w:p>
            <w:pPr>
              <w:pStyle w:val="47"/>
              <w:spacing w:after="0"/>
              <w:rPr>
                <w:b/>
                <w:color w:val="000000"/>
                <w:kern w:val="2"/>
                <w:sz w:val="15"/>
                <w:szCs w:val="15"/>
              </w:rPr>
            </w:pPr>
            <w:r>
              <w:rPr>
                <w:rFonts w:eastAsia="宋体"/>
                <w:szCs w:val="21"/>
              </w:rPr>
              <w:t>全厂核定排放总量(10)</w:t>
            </w:r>
          </w:p>
        </w:tc>
        <w:tc>
          <w:tcPr>
            <w:tcW w:w="1102" w:type="dxa"/>
            <w:gridSpan w:val="2"/>
            <w:tcMar>
              <w:left w:w="57" w:type="dxa"/>
              <w:right w:w="57" w:type="dxa"/>
            </w:tcMar>
            <w:vAlign w:val="center"/>
          </w:tcPr>
          <w:p>
            <w:pPr>
              <w:pStyle w:val="47"/>
              <w:spacing w:after="0"/>
              <w:rPr>
                <w:b/>
                <w:color w:val="000000"/>
                <w:kern w:val="2"/>
                <w:sz w:val="15"/>
                <w:szCs w:val="15"/>
              </w:rPr>
            </w:pPr>
            <w:r>
              <w:rPr>
                <w:rFonts w:eastAsia="宋体"/>
                <w:szCs w:val="21"/>
              </w:rPr>
              <w:t>区域平衡替代削减量(11)</w:t>
            </w:r>
          </w:p>
        </w:tc>
        <w:tc>
          <w:tcPr>
            <w:tcW w:w="919" w:type="dxa"/>
            <w:gridSpan w:val="2"/>
            <w:tcMar>
              <w:left w:w="57" w:type="dxa"/>
              <w:right w:w="57" w:type="dxa"/>
            </w:tcMar>
            <w:vAlign w:val="center"/>
          </w:tcPr>
          <w:p>
            <w:pPr>
              <w:pStyle w:val="47"/>
              <w:spacing w:after="0"/>
              <w:rPr>
                <w:b/>
                <w:color w:val="000000"/>
                <w:kern w:val="2"/>
                <w:sz w:val="15"/>
                <w:szCs w:val="15"/>
              </w:rPr>
            </w:pPr>
            <w:r>
              <w:rPr>
                <w:rFonts w:eastAsia="宋体"/>
                <w:szCs w:val="21"/>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02" w:hRule="atLeast"/>
          <w:jc w:val="center"/>
        </w:trPr>
        <w:tc>
          <w:tcPr>
            <w:tcW w:w="1027" w:type="dxa"/>
            <w:vMerge w:val="continue"/>
            <w:tcMar>
              <w:left w:w="57" w:type="dxa"/>
              <w:right w:w="57" w:type="dxa"/>
            </w:tcMar>
            <w:vAlign w:val="center"/>
          </w:tcPr>
          <w:p>
            <w:pPr>
              <w:pStyle w:val="47"/>
              <w:spacing w:after="0"/>
              <w:rPr>
                <w:color w:val="000000"/>
                <w:kern w:val="2"/>
                <w:sz w:val="15"/>
                <w:szCs w:val="15"/>
              </w:rPr>
            </w:pPr>
          </w:p>
        </w:tc>
        <w:tc>
          <w:tcPr>
            <w:tcW w:w="1199" w:type="dxa"/>
            <w:gridSpan w:val="2"/>
            <w:tcMar>
              <w:left w:w="57" w:type="dxa"/>
              <w:right w:w="57" w:type="dxa"/>
            </w:tcMar>
            <w:vAlign w:val="center"/>
          </w:tcPr>
          <w:p>
            <w:pPr>
              <w:pStyle w:val="47"/>
              <w:spacing w:after="0"/>
            </w:pPr>
            <w:r>
              <w:rPr>
                <w:rFonts w:eastAsia="宋体"/>
                <w:szCs w:val="21"/>
              </w:rPr>
              <w:t>废水</w:t>
            </w:r>
          </w:p>
        </w:tc>
        <w:tc>
          <w:tcPr>
            <w:tcW w:w="828" w:type="dxa"/>
            <w:gridSpan w:val="3"/>
            <w:tcMar>
              <w:left w:w="57" w:type="dxa"/>
              <w:right w:w="57" w:type="dxa"/>
            </w:tcMar>
            <w:vAlign w:val="center"/>
          </w:tcPr>
          <w:p>
            <w:pPr>
              <w:pStyle w:val="47"/>
              <w:spacing w:after="0"/>
              <w:rPr>
                <w:color w:val="000000"/>
                <w:kern w:val="2"/>
                <w:sz w:val="18"/>
                <w:szCs w:val="18"/>
              </w:rPr>
            </w:pPr>
          </w:p>
        </w:tc>
        <w:tc>
          <w:tcPr>
            <w:tcW w:w="949" w:type="dxa"/>
            <w:tcMar>
              <w:left w:w="57" w:type="dxa"/>
              <w:right w:w="57" w:type="dxa"/>
            </w:tcMar>
            <w:vAlign w:val="center"/>
          </w:tcPr>
          <w:p>
            <w:pPr>
              <w:pStyle w:val="47"/>
              <w:spacing w:after="0"/>
              <w:rPr>
                <w:color w:val="000000"/>
                <w:kern w:val="2"/>
                <w:sz w:val="18"/>
                <w:szCs w:val="18"/>
              </w:rPr>
            </w:pPr>
          </w:p>
        </w:tc>
        <w:tc>
          <w:tcPr>
            <w:tcW w:w="1097" w:type="dxa"/>
            <w:tcMar>
              <w:left w:w="57" w:type="dxa"/>
              <w:right w:w="57" w:type="dxa"/>
            </w:tcMar>
            <w:vAlign w:val="center"/>
          </w:tcPr>
          <w:p>
            <w:pPr>
              <w:pStyle w:val="47"/>
              <w:spacing w:after="0"/>
              <w:rPr>
                <w:color w:val="000000"/>
                <w:kern w:val="2"/>
                <w:sz w:val="15"/>
                <w:szCs w:val="15"/>
              </w:rPr>
            </w:pPr>
          </w:p>
        </w:tc>
        <w:tc>
          <w:tcPr>
            <w:tcW w:w="987" w:type="dxa"/>
            <w:tcMar>
              <w:left w:w="57" w:type="dxa"/>
              <w:right w:w="57" w:type="dxa"/>
            </w:tcMar>
            <w:vAlign w:val="center"/>
          </w:tcPr>
          <w:p>
            <w:pPr>
              <w:pStyle w:val="47"/>
              <w:spacing w:after="0"/>
              <w:rPr>
                <w:color w:val="000000"/>
                <w:kern w:val="2"/>
                <w:sz w:val="15"/>
                <w:szCs w:val="15"/>
              </w:rPr>
            </w:pPr>
          </w:p>
        </w:tc>
        <w:tc>
          <w:tcPr>
            <w:tcW w:w="1105" w:type="dxa"/>
            <w:gridSpan w:val="3"/>
            <w:tcMar>
              <w:left w:w="57" w:type="dxa"/>
              <w:right w:w="57" w:type="dxa"/>
            </w:tcMar>
            <w:vAlign w:val="center"/>
          </w:tcPr>
          <w:p>
            <w:pPr>
              <w:pStyle w:val="47"/>
              <w:spacing w:after="0"/>
              <w:rPr>
                <w:color w:val="000000"/>
                <w:kern w:val="2"/>
                <w:sz w:val="15"/>
                <w:szCs w:val="15"/>
              </w:rPr>
            </w:pPr>
          </w:p>
        </w:tc>
        <w:tc>
          <w:tcPr>
            <w:tcW w:w="1237" w:type="dxa"/>
            <w:tcMar>
              <w:left w:w="57" w:type="dxa"/>
              <w:right w:w="57" w:type="dxa"/>
            </w:tcMar>
            <w:vAlign w:val="center"/>
          </w:tcPr>
          <w:p>
            <w:pPr>
              <w:pStyle w:val="47"/>
              <w:spacing w:after="0"/>
              <w:rPr>
                <w:color w:val="000000"/>
                <w:kern w:val="2"/>
                <w:szCs w:val="21"/>
              </w:rPr>
            </w:pPr>
          </w:p>
        </w:tc>
        <w:tc>
          <w:tcPr>
            <w:tcW w:w="1089" w:type="dxa"/>
            <w:gridSpan w:val="3"/>
            <w:tcMar>
              <w:left w:w="57" w:type="dxa"/>
              <w:right w:w="57" w:type="dxa"/>
            </w:tcMar>
            <w:vAlign w:val="center"/>
          </w:tcPr>
          <w:p>
            <w:pPr>
              <w:pStyle w:val="47"/>
              <w:spacing w:after="0"/>
              <w:rPr>
                <w:color w:val="000000"/>
                <w:kern w:val="2"/>
                <w:sz w:val="15"/>
                <w:szCs w:val="15"/>
              </w:rPr>
            </w:pPr>
          </w:p>
        </w:tc>
        <w:tc>
          <w:tcPr>
            <w:tcW w:w="1311" w:type="dxa"/>
            <w:gridSpan w:val="2"/>
            <w:tcMar>
              <w:left w:w="57" w:type="dxa"/>
              <w:right w:w="57" w:type="dxa"/>
            </w:tcMar>
            <w:vAlign w:val="center"/>
          </w:tcPr>
          <w:p>
            <w:pPr>
              <w:pStyle w:val="47"/>
              <w:spacing w:after="0"/>
              <w:rPr>
                <w:color w:val="000000"/>
                <w:kern w:val="2"/>
                <w:sz w:val="15"/>
                <w:szCs w:val="15"/>
              </w:rPr>
            </w:pPr>
          </w:p>
        </w:tc>
        <w:tc>
          <w:tcPr>
            <w:tcW w:w="1309" w:type="dxa"/>
            <w:gridSpan w:val="2"/>
            <w:tcMar>
              <w:left w:w="57" w:type="dxa"/>
              <w:right w:w="57" w:type="dxa"/>
            </w:tcMar>
            <w:vAlign w:val="center"/>
          </w:tcPr>
          <w:p>
            <w:pPr>
              <w:pStyle w:val="47"/>
              <w:spacing w:after="0"/>
              <w:rPr>
                <w:color w:val="000000"/>
                <w:kern w:val="2"/>
                <w:sz w:val="15"/>
                <w:szCs w:val="15"/>
              </w:rPr>
            </w:pPr>
          </w:p>
        </w:tc>
        <w:tc>
          <w:tcPr>
            <w:tcW w:w="1244" w:type="dxa"/>
            <w:gridSpan w:val="2"/>
            <w:tcMar>
              <w:left w:w="57" w:type="dxa"/>
              <w:right w:w="57" w:type="dxa"/>
            </w:tcMar>
            <w:vAlign w:val="center"/>
          </w:tcPr>
          <w:p>
            <w:pPr>
              <w:pStyle w:val="47"/>
              <w:spacing w:after="0"/>
              <w:rPr>
                <w:color w:val="000000"/>
                <w:kern w:val="2"/>
                <w:sz w:val="15"/>
                <w:szCs w:val="15"/>
              </w:rPr>
            </w:pPr>
          </w:p>
        </w:tc>
        <w:tc>
          <w:tcPr>
            <w:tcW w:w="1102" w:type="dxa"/>
            <w:gridSpan w:val="2"/>
            <w:tcMar>
              <w:left w:w="57" w:type="dxa"/>
              <w:right w:w="57" w:type="dxa"/>
            </w:tcMar>
            <w:vAlign w:val="center"/>
          </w:tcPr>
          <w:p>
            <w:pPr>
              <w:pStyle w:val="47"/>
              <w:spacing w:after="0"/>
              <w:rPr>
                <w:color w:val="000000"/>
                <w:kern w:val="2"/>
                <w:sz w:val="15"/>
                <w:szCs w:val="15"/>
              </w:rPr>
            </w:pPr>
          </w:p>
        </w:tc>
        <w:tc>
          <w:tcPr>
            <w:tcW w:w="919" w:type="dxa"/>
            <w:gridSpan w:val="2"/>
            <w:tcMar>
              <w:left w:w="57" w:type="dxa"/>
              <w:right w:w="57" w:type="dxa"/>
            </w:tcMar>
            <w:vAlign w:val="center"/>
          </w:tcPr>
          <w:p>
            <w:pPr>
              <w:pStyle w:val="47"/>
              <w:spacing w:after="0"/>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027" w:type="dxa"/>
            <w:vMerge w:val="continue"/>
            <w:tcMar>
              <w:left w:w="57" w:type="dxa"/>
              <w:right w:w="57" w:type="dxa"/>
            </w:tcMar>
            <w:vAlign w:val="center"/>
          </w:tcPr>
          <w:p>
            <w:pPr>
              <w:pStyle w:val="47"/>
              <w:spacing w:after="0"/>
              <w:rPr>
                <w:b/>
                <w:color w:val="000000"/>
                <w:kern w:val="2"/>
                <w:sz w:val="15"/>
                <w:szCs w:val="15"/>
              </w:rPr>
            </w:pPr>
          </w:p>
        </w:tc>
        <w:tc>
          <w:tcPr>
            <w:tcW w:w="1199" w:type="dxa"/>
            <w:gridSpan w:val="2"/>
            <w:tcMar>
              <w:left w:w="57" w:type="dxa"/>
              <w:right w:w="57" w:type="dxa"/>
            </w:tcMar>
            <w:vAlign w:val="center"/>
          </w:tcPr>
          <w:p>
            <w:pPr>
              <w:pStyle w:val="47"/>
              <w:spacing w:after="0"/>
            </w:pPr>
            <w:r>
              <w:rPr>
                <w:rFonts w:eastAsia="宋体"/>
                <w:szCs w:val="21"/>
              </w:rPr>
              <w:t>化学需氧量</w:t>
            </w:r>
          </w:p>
        </w:tc>
        <w:tc>
          <w:tcPr>
            <w:tcW w:w="828" w:type="dxa"/>
            <w:gridSpan w:val="3"/>
            <w:tcMar>
              <w:left w:w="57" w:type="dxa"/>
              <w:right w:w="57" w:type="dxa"/>
            </w:tcMar>
            <w:vAlign w:val="center"/>
          </w:tcPr>
          <w:p>
            <w:pPr>
              <w:pStyle w:val="47"/>
              <w:spacing w:after="0"/>
              <w:rPr>
                <w:color w:val="000000"/>
                <w:kern w:val="2"/>
                <w:sz w:val="15"/>
                <w:szCs w:val="15"/>
              </w:rPr>
            </w:pPr>
          </w:p>
        </w:tc>
        <w:tc>
          <w:tcPr>
            <w:tcW w:w="949" w:type="dxa"/>
            <w:tcMar>
              <w:left w:w="57" w:type="dxa"/>
              <w:right w:w="57" w:type="dxa"/>
            </w:tcMar>
            <w:vAlign w:val="center"/>
          </w:tcPr>
          <w:p>
            <w:pPr>
              <w:pStyle w:val="47"/>
              <w:spacing w:after="0"/>
              <w:rPr>
                <w:color w:val="000000"/>
                <w:kern w:val="2"/>
                <w:sz w:val="15"/>
                <w:szCs w:val="15"/>
              </w:rPr>
            </w:pPr>
          </w:p>
        </w:tc>
        <w:tc>
          <w:tcPr>
            <w:tcW w:w="1097" w:type="dxa"/>
            <w:tcMar>
              <w:left w:w="57" w:type="dxa"/>
              <w:right w:w="57" w:type="dxa"/>
            </w:tcMar>
            <w:vAlign w:val="center"/>
          </w:tcPr>
          <w:p>
            <w:pPr>
              <w:pStyle w:val="47"/>
              <w:spacing w:after="0"/>
              <w:rPr>
                <w:color w:val="000000"/>
                <w:kern w:val="2"/>
                <w:sz w:val="15"/>
                <w:szCs w:val="15"/>
              </w:rPr>
            </w:pPr>
          </w:p>
        </w:tc>
        <w:tc>
          <w:tcPr>
            <w:tcW w:w="987" w:type="dxa"/>
            <w:tcMar>
              <w:left w:w="57" w:type="dxa"/>
              <w:right w:w="57" w:type="dxa"/>
            </w:tcMar>
            <w:vAlign w:val="center"/>
          </w:tcPr>
          <w:p>
            <w:pPr>
              <w:pStyle w:val="47"/>
              <w:spacing w:after="0"/>
              <w:rPr>
                <w:color w:val="000000"/>
                <w:kern w:val="2"/>
                <w:sz w:val="15"/>
                <w:szCs w:val="15"/>
              </w:rPr>
            </w:pPr>
          </w:p>
        </w:tc>
        <w:tc>
          <w:tcPr>
            <w:tcW w:w="1105" w:type="dxa"/>
            <w:gridSpan w:val="3"/>
            <w:tcMar>
              <w:left w:w="57" w:type="dxa"/>
              <w:right w:w="57" w:type="dxa"/>
            </w:tcMar>
            <w:vAlign w:val="center"/>
          </w:tcPr>
          <w:p>
            <w:pPr>
              <w:pStyle w:val="47"/>
              <w:spacing w:after="0"/>
              <w:rPr>
                <w:color w:val="000000"/>
                <w:kern w:val="2"/>
                <w:sz w:val="15"/>
                <w:szCs w:val="15"/>
              </w:rPr>
            </w:pPr>
          </w:p>
        </w:tc>
        <w:tc>
          <w:tcPr>
            <w:tcW w:w="1237" w:type="dxa"/>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3"/>
            <w:tcMar>
              <w:left w:w="57" w:type="dxa"/>
              <w:right w:w="57" w:type="dxa"/>
            </w:tcMar>
            <w:vAlign w:val="center"/>
          </w:tcPr>
          <w:p>
            <w:pPr>
              <w:pStyle w:val="47"/>
              <w:spacing w:after="0"/>
              <w:rPr>
                <w:color w:val="000000"/>
                <w:kern w:val="2"/>
                <w:sz w:val="15"/>
                <w:szCs w:val="15"/>
              </w:rPr>
            </w:pPr>
          </w:p>
        </w:tc>
        <w:tc>
          <w:tcPr>
            <w:tcW w:w="1311" w:type="dxa"/>
            <w:gridSpan w:val="2"/>
            <w:tcMar>
              <w:left w:w="57" w:type="dxa"/>
              <w:right w:w="57" w:type="dxa"/>
            </w:tcMar>
            <w:vAlign w:val="center"/>
          </w:tcPr>
          <w:p>
            <w:pPr>
              <w:pStyle w:val="47"/>
              <w:spacing w:after="0"/>
              <w:rPr>
                <w:color w:val="000000"/>
                <w:kern w:val="2"/>
                <w:sz w:val="15"/>
                <w:szCs w:val="15"/>
              </w:rPr>
            </w:pPr>
          </w:p>
        </w:tc>
        <w:tc>
          <w:tcPr>
            <w:tcW w:w="1309"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7"/>
              <w:spacing w:after="0"/>
              <w:rPr>
                <w:color w:val="000000"/>
                <w:kern w:val="2"/>
                <w:sz w:val="15"/>
                <w:szCs w:val="15"/>
              </w:rPr>
            </w:pPr>
          </w:p>
        </w:tc>
        <w:tc>
          <w:tcPr>
            <w:tcW w:w="1102" w:type="dxa"/>
            <w:gridSpan w:val="2"/>
            <w:tcMar>
              <w:left w:w="57" w:type="dxa"/>
              <w:right w:w="57" w:type="dxa"/>
            </w:tcMar>
            <w:vAlign w:val="center"/>
          </w:tcPr>
          <w:p>
            <w:pPr>
              <w:pStyle w:val="47"/>
              <w:spacing w:after="0"/>
              <w:rPr>
                <w:color w:val="000000"/>
                <w:kern w:val="2"/>
                <w:sz w:val="15"/>
                <w:szCs w:val="15"/>
              </w:rPr>
            </w:pPr>
          </w:p>
        </w:tc>
        <w:tc>
          <w:tcPr>
            <w:tcW w:w="919"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7" w:hRule="atLeast"/>
          <w:jc w:val="center"/>
        </w:trPr>
        <w:tc>
          <w:tcPr>
            <w:tcW w:w="1027" w:type="dxa"/>
            <w:vMerge w:val="continue"/>
            <w:tcMar>
              <w:left w:w="57" w:type="dxa"/>
              <w:right w:w="57" w:type="dxa"/>
            </w:tcMar>
            <w:vAlign w:val="center"/>
          </w:tcPr>
          <w:p>
            <w:pPr>
              <w:pStyle w:val="47"/>
              <w:spacing w:after="0"/>
              <w:rPr>
                <w:b/>
                <w:color w:val="000000"/>
                <w:kern w:val="2"/>
                <w:sz w:val="15"/>
                <w:szCs w:val="15"/>
              </w:rPr>
            </w:pPr>
          </w:p>
        </w:tc>
        <w:tc>
          <w:tcPr>
            <w:tcW w:w="1199" w:type="dxa"/>
            <w:gridSpan w:val="2"/>
            <w:tcMar>
              <w:left w:w="57" w:type="dxa"/>
              <w:right w:w="57" w:type="dxa"/>
            </w:tcMar>
            <w:vAlign w:val="center"/>
          </w:tcPr>
          <w:p>
            <w:pPr>
              <w:pStyle w:val="47"/>
              <w:spacing w:after="0"/>
            </w:pPr>
            <w:r>
              <w:rPr>
                <w:rFonts w:eastAsia="宋体"/>
                <w:szCs w:val="21"/>
              </w:rPr>
              <w:t>氨氮</w:t>
            </w:r>
          </w:p>
        </w:tc>
        <w:tc>
          <w:tcPr>
            <w:tcW w:w="828" w:type="dxa"/>
            <w:gridSpan w:val="3"/>
            <w:tcMar>
              <w:left w:w="57" w:type="dxa"/>
              <w:right w:w="57" w:type="dxa"/>
            </w:tcMar>
            <w:vAlign w:val="center"/>
          </w:tcPr>
          <w:p>
            <w:pPr>
              <w:pStyle w:val="47"/>
              <w:spacing w:after="0"/>
              <w:rPr>
                <w:color w:val="000000"/>
                <w:kern w:val="2"/>
                <w:sz w:val="15"/>
                <w:szCs w:val="15"/>
              </w:rPr>
            </w:pPr>
          </w:p>
        </w:tc>
        <w:tc>
          <w:tcPr>
            <w:tcW w:w="949" w:type="dxa"/>
            <w:tcMar>
              <w:left w:w="57" w:type="dxa"/>
              <w:right w:w="57" w:type="dxa"/>
            </w:tcMar>
            <w:vAlign w:val="center"/>
          </w:tcPr>
          <w:p>
            <w:pPr>
              <w:pStyle w:val="47"/>
              <w:spacing w:after="0"/>
              <w:rPr>
                <w:color w:val="000000"/>
                <w:kern w:val="2"/>
                <w:sz w:val="15"/>
                <w:szCs w:val="15"/>
              </w:rPr>
            </w:pPr>
          </w:p>
        </w:tc>
        <w:tc>
          <w:tcPr>
            <w:tcW w:w="1097" w:type="dxa"/>
            <w:tcMar>
              <w:left w:w="57" w:type="dxa"/>
              <w:right w:w="57" w:type="dxa"/>
            </w:tcMar>
            <w:vAlign w:val="center"/>
          </w:tcPr>
          <w:p>
            <w:pPr>
              <w:pStyle w:val="47"/>
              <w:spacing w:after="0"/>
              <w:rPr>
                <w:color w:val="000000"/>
                <w:kern w:val="2"/>
                <w:sz w:val="15"/>
                <w:szCs w:val="15"/>
              </w:rPr>
            </w:pPr>
          </w:p>
        </w:tc>
        <w:tc>
          <w:tcPr>
            <w:tcW w:w="987" w:type="dxa"/>
            <w:tcMar>
              <w:left w:w="57" w:type="dxa"/>
              <w:right w:w="57" w:type="dxa"/>
            </w:tcMar>
            <w:vAlign w:val="center"/>
          </w:tcPr>
          <w:p>
            <w:pPr>
              <w:pStyle w:val="47"/>
              <w:spacing w:after="0"/>
              <w:rPr>
                <w:color w:val="000000"/>
                <w:kern w:val="2"/>
                <w:sz w:val="15"/>
                <w:szCs w:val="15"/>
              </w:rPr>
            </w:pPr>
          </w:p>
        </w:tc>
        <w:tc>
          <w:tcPr>
            <w:tcW w:w="1105" w:type="dxa"/>
            <w:gridSpan w:val="3"/>
            <w:tcMar>
              <w:left w:w="57" w:type="dxa"/>
              <w:right w:w="57" w:type="dxa"/>
            </w:tcMar>
            <w:vAlign w:val="center"/>
          </w:tcPr>
          <w:p>
            <w:pPr>
              <w:pStyle w:val="47"/>
              <w:spacing w:after="0"/>
              <w:rPr>
                <w:color w:val="000000"/>
                <w:kern w:val="2"/>
                <w:sz w:val="15"/>
                <w:szCs w:val="15"/>
              </w:rPr>
            </w:pPr>
          </w:p>
        </w:tc>
        <w:tc>
          <w:tcPr>
            <w:tcW w:w="1237" w:type="dxa"/>
            <w:tcMar>
              <w:left w:w="57" w:type="dxa"/>
              <w:right w:w="57" w:type="dxa"/>
            </w:tcMar>
            <w:vAlign w:val="center"/>
          </w:tcPr>
          <w:p>
            <w:pPr>
              <w:widowControl w:val="0"/>
              <w:spacing w:after="0" w:line="240" w:lineRule="atLeast"/>
              <w:jc w:val="center"/>
              <w:rPr>
                <w:color w:val="000000"/>
                <w:kern w:val="2"/>
                <w:sz w:val="15"/>
                <w:szCs w:val="15"/>
              </w:rPr>
            </w:pPr>
          </w:p>
        </w:tc>
        <w:tc>
          <w:tcPr>
            <w:tcW w:w="1089" w:type="dxa"/>
            <w:gridSpan w:val="3"/>
            <w:tcMar>
              <w:left w:w="57" w:type="dxa"/>
              <w:right w:w="57" w:type="dxa"/>
            </w:tcMar>
            <w:vAlign w:val="center"/>
          </w:tcPr>
          <w:p>
            <w:pPr>
              <w:pStyle w:val="47"/>
              <w:spacing w:after="0"/>
              <w:rPr>
                <w:color w:val="000000"/>
                <w:kern w:val="2"/>
                <w:sz w:val="15"/>
                <w:szCs w:val="15"/>
              </w:rPr>
            </w:pPr>
          </w:p>
        </w:tc>
        <w:tc>
          <w:tcPr>
            <w:tcW w:w="1311" w:type="dxa"/>
            <w:gridSpan w:val="2"/>
            <w:tcMar>
              <w:left w:w="57" w:type="dxa"/>
              <w:right w:w="57" w:type="dxa"/>
            </w:tcMar>
            <w:vAlign w:val="center"/>
          </w:tcPr>
          <w:p>
            <w:pPr>
              <w:pStyle w:val="47"/>
              <w:spacing w:after="0"/>
              <w:rPr>
                <w:color w:val="000000"/>
                <w:kern w:val="2"/>
                <w:sz w:val="15"/>
                <w:szCs w:val="15"/>
              </w:rPr>
            </w:pPr>
          </w:p>
        </w:tc>
        <w:tc>
          <w:tcPr>
            <w:tcW w:w="1309" w:type="dxa"/>
            <w:gridSpan w:val="2"/>
            <w:tcMar>
              <w:left w:w="57" w:type="dxa"/>
              <w:right w:w="57" w:type="dxa"/>
            </w:tcMar>
            <w:vAlign w:val="center"/>
          </w:tcPr>
          <w:p>
            <w:pPr>
              <w:widowControl w:val="0"/>
              <w:spacing w:after="0" w:line="240" w:lineRule="atLeast"/>
              <w:jc w:val="center"/>
              <w:rPr>
                <w:color w:val="000000"/>
                <w:kern w:val="2"/>
                <w:sz w:val="15"/>
                <w:szCs w:val="15"/>
              </w:rPr>
            </w:pPr>
          </w:p>
        </w:tc>
        <w:tc>
          <w:tcPr>
            <w:tcW w:w="1244" w:type="dxa"/>
            <w:gridSpan w:val="2"/>
            <w:tcMar>
              <w:left w:w="57" w:type="dxa"/>
              <w:right w:w="57" w:type="dxa"/>
            </w:tcMar>
            <w:vAlign w:val="center"/>
          </w:tcPr>
          <w:p>
            <w:pPr>
              <w:pStyle w:val="47"/>
              <w:spacing w:after="0"/>
              <w:rPr>
                <w:color w:val="000000"/>
                <w:kern w:val="2"/>
                <w:sz w:val="15"/>
                <w:szCs w:val="15"/>
              </w:rPr>
            </w:pPr>
          </w:p>
        </w:tc>
        <w:tc>
          <w:tcPr>
            <w:tcW w:w="1102" w:type="dxa"/>
            <w:gridSpan w:val="2"/>
            <w:tcMar>
              <w:left w:w="57" w:type="dxa"/>
              <w:right w:w="57" w:type="dxa"/>
            </w:tcMar>
            <w:vAlign w:val="center"/>
          </w:tcPr>
          <w:p>
            <w:pPr>
              <w:pStyle w:val="47"/>
              <w:spacing w:after="0"/>
              <w:rPr>
                <w:color w:val="000000"/>
                <w:kern w:val="2"/>
                <w:sz w:val="15"/>
                <w:szCs w:val="15"/>
              </w:rPr>
            </w:pPr>
          </w:p>
        </w:tc>
        <w:tc>
          <w:tcPr>
            <w:tcW w:w="919" w:type="dxa"/>
            <w:gridSpan w:val="2"/>
            <w:tcMar>
              <w:left w:w="57" w:type="dxa"/>
              <w:right w:w="57" w:type="dxa"/>
            </w:tcMar>
            <w:vAlign w:val="center"/>
          </w:tcPr>
          <w:p>
            <w:pPr>
              <w:widowControl w:val="0"/>
              <w:spacing w:after="0" w:line="240" w:lineRule="atLeast"/>
              <w:jc w:val="center"/>
              <w:rPr>
                <w:color w:val="000000"/>
                <w:kern w:val="2"/>
                <w:sz w:val="15"/>
                <w:szCs w:val="15"/>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20" w:hRule="atLeast"/>
          <w:jc w:val="center"/>
        </w:trPr>
        <w:tc>
          <w:tcPr>
            <w:tcW w:w="1027" w:type="dxa"/>
            <w:vMerge w:val="continue"/>
            <w:tcMar>
              <w:left w:w="57" w:type="dxa"/>
              <w:right w:w="57" w:type="dxa"/>
            </w:tcMar>
            <w:vAlign w:val="center"/>
          </w:tcPr>
          <w:p>
            <w:pPr>
              <w:pStyle w:val="47"/>
              <w:spacing w:after="0"/>
              <w:rPr>
                <w:b/>
                <w:color w:val="000000"/>
                <w:kern w:val="2"/>
                <w:sz w:val="15"/>
                <w:szCs w:val="15"/>
              </w:rPr>
            </w:pPr>
          </w:p>
        </w:tc>
        <w:tc>
          <w:tcPr>
            <w:tcW w:w="1199" w:type="dxa"/>
            <w:gridSpan w:val="2"/>
            <w:tcMar>
              <w:left w:w="57" w:type="dxa"/>
              <w:right w:w="57" w:type="dxa"/>
            </w:tcMar>
            <w:vAlign w:val="center"/>
          </w:tcPr>
          <w:p>
            <w:pPr>
              <w:pStyle w:val="47"/>
              <w:spacing w:after="0"/>
            </w:pPr>
            <w:r>
              <w:rPr>
                <w:rFonts w:eastAsia="宋体"/>
                <w:szCs w:val="21"/>
              </w:rPr>
              <w:t>石油类</w:t>
            </w:r>
          </w:p>
        </w:tc>
        <w:tc>
          <w:tcPr>
            <w:tcW w:w="828" w:type="dxa"/>
            <w:gridSpan w:val="3"/>
            <w:tcMar>
              <w:left w:w="57" w:type="dxa"/>
              <w:right w:w="57" w:type="dxa"/>
            </w:tcMar>
            <w:vAlign w:val="center"/>
          </w:tcPr>
          <w:p>
            <w:pPr>
              <w:pStyle w:val="47"/>
              <w:spacing w:after="0"/>
              <w:rPr>
                <w:color w:val="000000"/>
                <w:kern w:val="2"/>
                <w:szCs w:val="21"/>
              </w:rPr>
            </w:pPr>
          </w:p>
        </w:tc>
        <w:tc>
          <w:tcPr>
            <w:tcW w:w="949" w:type="dxa"/>
            <w:tcMar>
              <w:left w:w="57" w:type="dxa"/>
              <w:right w:w="57" w:type="dxa"/>
            </w:tcMar>
            <w:vAlign w:val="center"/>
          </w:tcPr>
          <w:p>
            <w:pPr>
              <w:pStyle w:val="47"/>
              <w:spacing w:after="0"/>
              <w:rPr>
                <w:color w:val="000000"/>
                <w:kern w:val="2"/>
                <w:szCs w:val="21"/>
              </w:rPr>
            </w:pPr>
          </w:p>
        </w:tc>
        <w:tc>
          <w:tcPr>
            <w:tcW w:w="1097" w:type="dxa"/>
            <w:tcMar>
              <w:left w:w="57" w:type="dxa"/>
              <w:right w:w="57" w:type="dxa"/>
            </w:tcMar>
            <w:vAlign w:val="center"/>
          </w:tcPr>
          <w:p>
            <w:pPr>
              <w:pStyle w:val="47"/>
              <w:spacing w:after="0"/>
              <w:rPr>
                <w:color w:val="000000"/>
                <w:kern w:val="2"/>
                <w:szCs w:val="21"/>
              </w:rPr>
            </w:pPr>
          </w:p>
        </w:tc>
        <w:tc>
          <w:tcPr>
            <w:tcW w:w="987" w:type="dxa"/>
            <w:tcMar>
              <w:left w:w="57" w:type="dxa"/>
              <w:right w:w="57" w:type="dxa"/>
            </w:tcMar>
            <w:vAlign w:val="center"/>
          </w:tcPr>
          <w:p>
            <w:pPr>
              <w:pStyle w:val="47"/>
              <w:spacing w:after="0"/>
              <w:rPr>
                <w:color w:val="000000"/>
                <w:kern w:val="2"/>
                <w:szCs w:val="21"/>
              </w:rPr>
            </w:pPr>
          </w:p>
        </w:tc>
        <w:tc>
          <w:tcPr>
            <w:tcW w:w="1105" w:type="dxa"/>
            <w:gridSpan w:val="3"/>
            <w:tcMar>
              <w:left w:w="57" w:type="dxa"/>
              <w:right w:w="57" w:type="dxa"/>
            </w:tcMar>
            <w:vAlign w:val="center"/>
          </w:tcPr>
          <w:p>
            <w:pPr>
              <w:pStyle w:val="47"/>
              <w:spacing w:after="0"/>
              <w:rPr>
                <w:color w:val="000000"/>
                <w:kern w:val="2"/>
                <w:szCs w:val="21"/>
              </w:rPr>
            </w:pPr>
          </w:p>
        </w:tc>
        <w:tc>
          <w:tcPr>
            <w:tcW w:w="1237" w:type="dxa"/>
            <w:tcMar>
              <w:left w:w="57" w:type="dxa"/>
              <w:right w:w="57" w:type="dxa"/>
            </w:tcMar>
            <w:vAlign w:val="center"/>
          </w:tcPr>
          <w:p>
            <w:pPr>
              <w:pStyle w:val="47"/>
              <w:spacing w:after="0"/>
              <w:rPr>
                <w:color w:val="000000"/>
                <w:kern w:val="2"/>
                <w:szCs w:val="21"/>
              </w:rPr>
            </w:pPr>
          </w:p>
        </w:tc>
        <w:tc>
          <w:tcPr>
            <w:tcW w:w="1089" w:type="dxa"/>
            <w:gridSpan w:val="3"/>
            <w:tcMar>
              <w:left w:w="57" w:type="dxa"/>
              <w:right w:w="57" w:type="dxa"/>
            </w:tcMar>
            <w:vAlign w:val="center"/>
          </w:tcPr>
          <w:p>
            <w:pPr>
              <w:pStyle w:val="47"/>
              <w:spacing w:after="0"/>
              <w:rPr>
                <w:color w:val="000000"/>
                <w:kern w:val="2"/>
                <w:szCs w:val="21"/>
              </w:rPr>
            </w:pPr>
          </w:p>
        </w:tc>
        <w:tc>
          <w:tcPr>
            <w:tcW w:w="1311" w:type="dxa"/>
            <w:gridSpan w:val="2"/>
            <w:tcMar>
              <w:left w:w="57" w:type="dxa"/>
              <w:right w:w="57" w:type="dxa"/>
            </w:tcMar>
            <w:vAlign w:val="center"/>
          </w:tcPr>
          <w:p>
            <w:pPr>
              <w:pStyle w:val="47"/>
              <w:spacing w:after="0"/>
              <w:rPr>
                <w:color w:val="000000"/>
                <w:kern w:val="2"/>
                <w:szCs w:val="21"/>
              </w:rPr>
            </w:pPr>
          </w:p>
        </w:tc>
        <w:tc>
          <w:tcPr>
            <w:tcW w:w="1309" w:type="dxa"/>
            <w:gridSpan w:val="2"/>
            <w:tcMar>
              <w:left w:w="57" w:type="dxa"/>
              <w:right w:w="57" w:type="dxa"/>
            </w:tcMar>
            <w:vAlign w:val="center"/>
          </w:tcPr>
          <w:p>
            <w:pPr>
              <w:pStyle w:val="47"/>
              <w:spacing w:after="0"/>
              <w:rPr>
                <w:color w:val="000000"/>
                <w:kern w:val="2"/>
                <w:szCs w:val="21"/>
              </w:rPr>
            </w:pPr>
          </w:p>
        </w:tc>
        <w:tc>
          <w:tcPr>
            <w:tcW w:w="1244" w:type="dxa"/>
            <w:gridSpan w:val="2"/>
            <w:tcMar>
              <w:left w:w="57" w:type="dxa"/>
              <w:right w:w="57" w:type="dxa"/>
            </w:tcMar>
            <w:vAlign w:val="center"/>
          </w:tcPr>
          <w:p>
            <w:pPr>
              <w:pStyle w:val="47"/>
              <w:spacing w:after="0"/>
              <w:rPr>
                <w:color w:val="000000"/>
                <w:kern w:val="2"/>
                <w:szCs w:val="21"/>
              </w:rPr>
            </w:pPr>
          </w:p>
        </w:tc>
        <w:tc>
          <w:tcPr>
            <w:tcW w:w="1102" w:type="dxa"/>
            <w:gridSpan w:val="2"/>
            <w:tcMar>
              <w:left w:w="57" w:type="dxa"/>
              <w:right w:w="57" w:type="dxa"/>
            </w:tcMar>
            <w:vAlign w:val="center"/>
          </w:tcPr>
          <w:p>
            <w:pPr>
              <w:pStyle w:val="47"/>
              <w:spacing w:after="0"/>
              <w:rPr>
                <w:color w:val="000000"/>
                <w:kern w:val="2"/>
                <w:szCs w:val="21"/>
              </w:rPr>
            </w:pPr>
          </w:p>
        </w:tc>
        <w:tc>
          <w:tcPr>
            <w:tcW w:w="919" w:type="dxa"/>
            <w:gridSpan w:val="2"/>
            <w:tcMar>
              <w:left w:w="57" w:type="dxa"/>
              <w:right w:w="57" w:type="dxa"/>
            </w:tcMar>
            <w:vAlign w:val="center"/>
          </w:tcPr>
          <w:p>
            <w:pPr>
              <w:pStyle w:val="47"/>
              <w:spacing w:after="0"/>
              <w:rPr>
                <w:color w:val="000000"/>
                <w:kern w:val="2"/>
                <w:szCs w:val="21"/>
              </w:rPr>
            </w:pPr>
            <w:r>
              <w:rPr>
                <w:rFonts w:hint="eastAsia"/>
                <w:color w:val="000000"/>
                <w:kern w:val="2"/>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废气</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919"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二氧化硫</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919"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烟尘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919"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工业粉尘</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919"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氮氧化物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textAlignment w:val="center"/>
              <w:rPr>
                <w:color w:val="000000"/>
                <w:kern w:val="2"/>
                <w:sz w:val="15"/>
                <w:szCs w:val="15"/>
              </w:rPr>
            </w:pPr>
          </w:p>
        </w:tc>
        <w:tc>
          <w:tcPr>
            <w:tcW w:w="919" w:type="dxa"/>
            <w:gridSpan w:val="2"/>
            <w:tcMar>
              <w:left w:w="57" w:type="dxa"/>
              <w:right w:w="57" w:type="dxa"/>
            </w:tcMar>
            <w:vAlign w:val="center"/>
          </w:tcPr>
          <w:p>
            <w:pPr>
              <w:spacing w:after="0"/>
              <w:jc w:val="center"/>
              <w:textAlignment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tcMar>
              <w:left w:w="57" w:type="dxa"/>
              <w:right w:w="57" w:type="dxa"/>
            </w:tcMar>
            <w:vAlign w:val="center"/>
          </w:tcPr>
          <w:p>
            <w:pPr>
              <w:spacing w:after="0"/>
              <w:jc w:val="both"/>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工业固体废物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919"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restart"/>
            <w:tcMar>
              <w:left w:w="57" w:type="dxa"/>
              <w:right w:w="57" w:type="dxa"/>
            </w:tcMar>
          </w:tcPr>
          <w:p>
            <w:pPr>
              <w:spacing w:after="0"/>
              <w:rPr>
                <w:rFonts w:ascii="宋体" w:hAnsi="宋体" w:eastAsia="宋体" w:cs="宋体"/>
                <w:bCs/>
                <w:color w:val="000000"/>
                <w:kern w:val="2"/>
                <w:sz w:val="21"/>
                <w:szCs w:val="21"/>
              </w:rPr>
            </w:pPr>
            <w:r>
              <w:rPr>
                <w:rFonts w:hint="eastAsia" w:ascii="宋体" w:hAnsi="宋体" w:eastAsia="宋体" w:cs="宋体"/>
                <w:bCs/>
                <w:color w:val="000000"/>
                <w:kern w:val="2"/>
                <w:sz w:val="21"/>
                <w:szCs w:val="21"/>
              </w:rPr>
              <w:t>与项目有关的其他特征污染物</w:t>
            </w: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919"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vAlign w:val="center"/>
          </w:tcPr>
          <w:p>
            <w:pPr>
              <w:spacing w:after="0"/>
              <w:jc w:val="center"/>
              <w:rPr>
                <w:color w:val="000000"/>
                <w:kern w:val="2"/>
                <w:sz w:val="15"/>
                <w:szCs w:val="15"/>
              </w:rPr>
            </w:pPr>
          </w:p>
        </w:tc>
        <w:tc>
          <w:tcPr>
            <w:tcW w:w="1097" w:type="dxa"/>
            <w:tcMar>
              <w:left w:w="57" w:type="dxa"/>
              <w:right w:w="57" w:type="dxa"/>
            </w:tcMar>
            <w:vAlign w:val="center"/>
          </w:tcPr>
          <w:p>
            <w:pPr>
              <w:spacing w:after="0"/>
              <w:jc w:val="center"/>
              <w:rPr>
                <w:color w:val="000000"/>
                <w:kern w:val="2"/>
                <w:sz w:val="15"/>
                <w:szCs w:val="15"/>
              </w:rPr>
            </w:pPr>
          </w:p>
        </w:tc>
        <w:tc>
          <w:tcPr>
            <w:tcW w:w="993" w:type="dxa"/>
            <w:gridSpan w:val="2"/>
            <w:tcMar>
              <w:left w:w="57" w:type="dxa"/>
              <w:right w:w="57" w:type="dxa"/>
            </w:tcMar>
            <w:vAlign w:val="center"/>
          </w:tcPr>
          <w:p>
            <w:pPr>
              <w:spacing w:after="0"/>
              <w:jc w:val="center"/>
              <w:rPr>
                <w:color w:val="000000"/>
                <w:kern w:val="2"/>
                <w:sz w:val="15"/>
                <w:szCs w:val="15"/>
              </w:rPr>
            </w:pPr>
          </w:p>
        </w:tc>
        <w:tc>
          <w:tcPr>
            <w:tcW w:w="1099" w:type="dxa"/>
            <w:gridSpan w:val="2"/>
            <w:tcMar>
              <w:left w:w="57" w:type="dxa"/>
              <w:right w:w="57" w:type="dxa"/>
            </w:tcMar>
            <w:vAlign w:val="center"/>
          </w:tcPr>
          <w:p>
            <w:pPr>
              <w:spacing w:after="0"/>
              <w:jc w:val="center"/>
              <w:rPr>
                <w:color w:val="000000"/>
                <w:kern w:val="2"/>
                <w:sz w:val="15"/>
                <w:szCs w:val="15"/>
              </w:rPr>
            </w:pPr>
          </w:p>
        </w:tc>
        <w:tc>
          <w:tcPr>
            <w:tcW w:w="1237" w:type="dxa"/>
            <w:tcMar>
              <w:left w:w="57" w:type="dxa"/>
              <w:right w:w="57" w:type="dxa"/>
            </w:tcMar>
            <w:vAlign w:val="center"/>
          </w:tcPr>
          <w:p>
            <w:pPr>
              <w:spacing w:after="0"/>
              <w:jc w:val="center"/>
              <w:rPr>
                <w:color w:val="000000"/>
                <w:kern w:val="2"/>
                <w:sz w:val="15"/>
                <w:szCs w:val="15"/>
              </w:rPr>
            </w:pPr>
          </w:p>
        </w:tc>
        <w:tc>
          <w:tcPr>
            <w:tcW w:w="1089" w:type="dxa"/>
            <w:gridSpan w:val="3"/>
            <w:tcMar>
              <w:left w:w="57" w:type="dxa"/>
              <w:right w:w="57" w:type="dxa"/>
            </w:tcMar>
            <w:vAlign w:val="center"/>
          </w:tcPr>
          <w:p>
            <w:pPr>
              <w:spacing w:after="0"/>
              <w:jc w:val="center"/>
              <w:rPr>
                <w:color w:val="000000"/>
                <w:kern w:val="2"/>
                <w:sz w:val="15"/>
                <w:szCs w:val="15"/>
              </w:rPr>
            </w:pPr>
          </w:p>
        </w:tc>
        <w:tc>
          <w:tcPr>
            <w:tcW w:w="1311" w:type="dxa"/>
            <w:gridSpan w:val="2"/>
            <w:tcMar>
              <w:left w:w="57" w:type="dxa"/>
              <w:right w:w="57" w:type="dxa"/>
            </w:tcMar>
            <w:vAlign w:val="center"/>
          </w:tcPr>
          <w:p>
            <w:pPr>
              <w:spacing w:after="0"/>
              <w:jc w:val="center"/>
              <w:rPr>
                <w:color w:val="000000"/>
                <w:kern w:val="2"/>
                <w:sz w:val="15"/>
                <w:szCs w:val="15"/>
              </w:rPr>
            </w:pPr>
          </w:p>
        </w:tc>
        <w:tc>
          <w:tcPr>
            <w:tcW w:w="1309" w:type="dxa"/>
            <w:gridSpan w:val="2"/>
            <w:tcMar>
              <w:left w:w="57" w:type="dxa"/>
              <w:right w:w="57" w:type="dxa"/>
            </w:tcMar>
            <w:vAlign w:val="center"/>
          </w:tcPr>
          <w:p>
            <w:pPr>
              <w:spacing w:after="0"/>
              <w:jc w:val="center"/>
              <w:rPr>
                <w:color w:val="000000"/>
                <w:kern w:val="2"/>
                <w:sz w:val="15"/>
                <w:szCs w:val="15"/>
              </w:rPr>
            </w:pPr>
          </w:p>
        </w:tc>
        <w:tc>
          <w:tcPr>
            <w:tcW w:w="1244" w:type="dxa"/>
            <w:gridSpan w:val="2"/>
            <w:tcMar>
              <w:left w:w="57" w:type="dxa"/>
              <w:right w:w="57" w:type="dxa"/>
            </w:tcMar>
            <w:vAlign w:val="center"/>
          </w:tcPr>
          <w:p>
            <w:pPr>
              <w:spacing w:after="0"/>
              <w:jc w:val="center"/>
              <w:rPr>
                <w:color w:val="000000"/>
                <w:kern w:val="2"/>
                <w:sz w:val="15"/>
                <w:szCs w:val="15"/>
              </w:rPr>
            </w:pPr>
          </w:p>
        </w:tc>
        <w:tc>
          <w:tcPr>
            <w:tcW w:w="1102" w:type="dxa"/>
            <w:gridSpan w:val="2"/>
            <w:tcMar>
              <w:left w:w="57" w:type="dxa"/>
              <w:right w:w="57" w:type="dxa"/>
            </w:tcMar>
            <w:vAlign w:val="center"/>
          </w:tcPr>
          <w:p>
            <w:pPr>
              <w:spacing w:after="0"/>
              <w:jc w:val="center"/>
              <w:rPr>
                <w:color w:val="000000"/>
                <w:kern w:val="2"/>
                <w:sz w:val="15"/>
                <w:szCs w:val="15"/>
              </w:rPr>
            </w:pPr>
          </w:p>
        </w:tc>
        <w:tc>
          <w:tcPr>
            <w:tcW w:w="919" w:type="dxa"/>
            <w:gridSpan w:val="2"/>
            <w:tcMar>
              <w:left w:w="57" w:type="dxa"/>
              <w:right w:w="57" w:type="dxa"/>
            </w:tcMar>
            <w:vAlign w:val="center"/>
          </w:tcPr>
          <w:p>
            <w:pPr>
              <w:spacing w:after="0"/>
              <w:jc w:val="center"/>
              <w:rPr>
                <w:color w:val="000000"/>
                <w:kern w:val="2"/>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atLeast"/>
          <w:jc w:val="center"/>
        </w:trPr>
        <w:tc>
          <w:tcPr>
            <w:tcW w:w="1796" w:type="dxa"/>
            <w:gridSpan w:val="2"/>
            <w:vMerge w:val="continue"/>
            <w:tcMar>
              <w:left w:w="57" w:type="dxa"/>
              <w:right w:w="57" w:type="dxa"/>
            </w:tcMar>
          </w:tcPr>
          <w:p>
            <w:pPr>
              <w:spacing w:after="0"/>
              <w:rPr>
                <w:color w:val="000000"/>
                <w:kern w:val="2"/>
                <w:sz w:val="15"/>
                <w:szCs w:val="15"/>
              </w:rPr>
            </w:pPr>
          </w:p>
        </w:tc>
        <w:tc>
          <w:tcPr>
            <w:tcW w:w="864" w:type="dxa"/>
            <w:gridSpan w:val="3"/>
            <w:tcMar>
              <w:left w:w="57" w:type="dxa"/>
              <w:right w:w="57" w:type="dxa"/>
            </w:tcMar>
            <w:vAlign w:val="center"/>
          </w:tcPr>
          <w:p>
            <w:pPr>
              <w:spacing w:after="0"/>
              <w:jc w:val="center"/>
              <w:rPr>
                <w:color w:val="000000"/>
                <w:kern w:val="2"/>
                <w:sz w:val="15"/>
                <w:szCs w:val="15"/>
              </w:rPr>
            </w:pPr>
            <w:r>
              <w:rPr>
                <w:rFonts w:hint="eastAsia"/>
                <w:color w:val="000000"/>
                <w:kern w:val="2"/>
                <w:sz w:val="15"/>
                <w:szCs w:val="15"/>
              </w:rPr>
              <w:t>——</w:t>
            </w:r>
          </w:p>
        </w:tc>
        <w:tc>
          <w:tcPr>
            <w:tcW w:w="1343" w:type="dxa"/>
            <w:gridSpan w:val="2"/>
            <w:tcMar>
              <w:left w:w="57" w:type="dxa"/>
              <w:right w:w="57" w:type="dxa"/>
            </w:tcMar>
          </w:tcPr>
          <w:p>
            <w:pPr>
              <w:spacing w:after="0"/>
              <w:jc w:val="center"/>
              <w:rPr>
                <w:color w:val="000000"/>
                <w:kern w:val="2"/>
                <w:sz w:val="15"/>
                <w:szCs w:val="15"/>
              </w:rPr>
            </w:pPr>
          </w:p>
        </w:tc>
        <w:tc>
          <w:tcPr>
            <w:tcW w:w="1097" w:type="dxa"/>
            <w:tcMar>
              <w:left w:w="57" w:type="dxa"/>
              <w:right w:w="57" w:type="dxa"/>
            </w:tcMar>
          </w:tcPr>
          <w:p>
            <w:pPr>
              <w:spacing w:after="0"/>
              <w:jc w:val="center"/>
              <w:rPr>
                <w:color w:val="000000"/>
                <w:kern w:val="2"/>
                <w:sz w:val="15"/>
                <w:szCs w:val="15"/>
              </w:rPr>
            </w:pPr>
          </w:p>
        </w:tc>
        <w:tc>
          <w:tcPr>
            <w:tcW w:w="993" w:type="dxa"/>
            <w:gridSpan w:val="2"/>
            <w:tcMar>
              <w:left w:w="57" w:type="dxa"/>
              <w:right w:w="57" w:type="dxa"/>
            </w:tcMar>
          </w:tcPr>
          <w:p>
            <w:pPr>
              <w:spacing w:after="0"/>
              <w:jc w:val="center"/>
              <w:rPr>
                <w:color w:val="000000"/>
                <w:kern w:val="2"/>
                <w:sz w:val="15"/>
                <w:szCs w:val="15"/>
              </w:rPr>
            </w:pPr>
          </w:p>
        </w:tc>
        <w:tc>
          <w:tcPr>
            <w:tcW w:w="1099" w:type="dxa"/>
            <w:gridSpan w:val="2"/>
            <w:tcMar>
              <w:left w:w="57" w:type="dxa"/>
              <w:right w:w="57" w:type="dxa"/>
            </w:tcMar>
          </w:tcPr>
          <w:p>
            <w:pPr>
              <w:spacing w:after="0"/>
              <w:jc w:val="center"/>
              <w:rPr>
                <w:color w:val="000000"/>
                <w:kern w:val="2"/>
                <w:sz w:val="15"/>
                <w:szCs w:val="15"/>
              </w:rPr>
            </w:pPr>
          </w:p>
        </w:tc>
        <w:tc>
          <w:tcPr>
            <w:tcW w:w="1237" w:type="dxa"/>
            <w:tcMar>
              <w:left w:w="57" w:type="dxa"/>
              <w:right w:w="57" w:type="dxa"/>
            </w:tcMar>
          </w:tcPr>
          <w:p>
            <w:pPr>
              <w:spacing w:after="0"/>
              <w:jc w:val="center"/>
              <w:rPr>
                <w:color w:val="000000"/>
                <w:kern w:val="2"/>
                <w:sz w:val="15"/>
                <w:szCs w:val="15"/>
              </w:rPr>
            </w:pPr>
          </w:p>
        </w:tc>
        <w:tc>
          <w:tcPr>
            <w:tcW w:w="1089" w:type="dxa"/>
            <w:gridSpan w:val="3"/>
            <w:tcMar>
              <w:left w:w="57" w:type="dxa"/>
              <w:right w:w="57" w:type="dxa"/>
            </w:tcMar>
          </w:tcPr>
          <w:p>
            <w:pPr>
              <w:spacing w:after="0"/>
              <w:jc w:val="center"/>
              <w:rPr>
                <w:color w:val="000000"/>
                <w:kern w:val="2"/>
                <w:sz w:val="15"/>
                <w:szCs w:val="15"/>
              </w:rPr>
            </w:pPr>
          </w:p>
        </w:tc>
        <w:tc>
          <w:tcPr>
            <w:tcW w:w="1311" w:type="dxa"/>
            <w:gridSpan w:val="2"/>
            <w:tcMar>
              <w:left w:w="57" w:type="dxa"/>
              <w:right w:w="57" w:type="dxa"/>
            </w:tcMar>
          </w:tcPr>
          <w:p>
            <w:pPr>
              <w:spacing w:after="0"/>
              <w:jc w:val="center"/>
              <w:rPr>
                <w:color w:val="000000"/>
                <w:kern w:val="2"/>
                <w:sz w:val="15"/>
                <w:szCs w:val="15"/>
              </w:rPr>
            </w:pPr>
          </w:p>
        </w:tc>
        <w:tc>
          <w:tcPr>
            <w:tcW w:w="1309" w:type="dxa"/>
            <w:gridSpan w:val="2"/>
            <w:tcMar>
              <w:left w:w="57" w:type="dxa"/>
              <w:right w:w="57" w:type="dxa"/>
            </w:tcMar>
          </w:tcPr>
          <w:p>
            <w:pPr>
              <w:spacing w:after="0"/>
              <w:jc w:val="center"/>
              <w:rPr>
                <w:color w:val="000000"/>
                <w:kern w:val="2"/>
                <w:sz w:val="15"/>
                <w:szCs w:val="15"/>
              </w:rPr>
            </w:pPr>
          </w:p>
        </w:tc>
        <w:tc>
          <w:tcPr>
            <w:tcW w:w="1244" w:type="dxa"/>
            <w:gridSpan w:val="2"/>
            <w:tcMar>
              <w:left w:w="57" w:type="dxa"/>
              <w:right w:w="57" w:type="dxa"/>
            </w:tcMar>
          </w:tcPr>
          <w:p>
            <w:pPr>
              <w:spacing w:after="0"/>
              <w:jc w:val="center"/>
              <w:rPr>
                <w:color w:val="000000"/>
                <w:kern w:val="2"/>
                <w:sz w:val="15"/>
                <w:szCs w:val="15"/>
              </w:rPr>
            </w:pPr>
          </w:p>
        </w:tc>
        <w:tc>
          <w:tcPr>
            <w:tcW w:w="1102" w:type="dxa"/>
            <w:gridSpan w:val="2"/>
            <w:tcMar>
              <w:left w:w="57" w:type="dxa"/>
              <w:right w:w="57" w:type="dxa"/>
            </w:tcMar>
          </w:tcPr>
          <w:p>
            <w:pPr>
              <w:spacing w:after="0"/>
              <w:jc w:val="center"/>
              <w:rPr>
                <w:color w:val="000000"/>
                <w:kern w:val="2"/>
                <w:sz w:val="15"/>
                <w:szCs w:val="15"/>
              </w:rPr>
            </w:pPr>
          </w:p>
        </w:tc>
        <w:tc>
          <w:tcPr>
            <w:tcW w:w="919" w:type="dxa"/>
            <w:gridSpan w:val="2"/>
            <w:tcMar>
              <w:left w:w="57" w:type="dxa"/>
              <w:right w:w="57" w:type="dxa"/>
            </w:tcMar>
          </w:tcPr>
          <w:p>
            <w:pPr>
              <w:spacing w:after="0"/>
              <w:jc w:val="center"/>
              <w:rPr>
                <w:color w:val="000000"/>
                <w:kern w:val="2"/>
                <w:sz w:val="15"/>
                <w:szCs w:val="15"/>
              </w:rPr>
            </w:pPr>
          </w:p>
        </w:tc>
      </w:tr>
    </w:tbl>
    <w:p>
      <w:pPr>
        <w:spacing w:after="0"/>
        <w:rPr>
          <w:rFonts w:hint="eastAsia" w:ascii="宋体" w:hAnsi="宋体" w:eastAsia="宋体" w:cs="宋体"/>
          <w:sz w:val="21"/>
        </w:rPr>
      </w:pPr>
      <w:r>
        <w:rPr>
          <w:rFonts w:hint="eastAsia" w:ascii="宋体" w:hAnsi="宋体" w:eastAsia="宋体" w:cs="宋体"/>
          <w:b/>
          <w:color w:val="000000"/>
          <w:sz w:val="21"/>
          <w:szCs w:val="21"/>
        </w:rPr>
        <w:t>注</w:t>
      </w:r>
      <w:r>
        <w:rPr>
          <w:rFonts w:hint="eastAsia" w:ascii="宋体" w:hAnsi="宋体" w:eastAsia="宋体" w:cs="宋体"/>
          <w:color w:val="000000"/>
          <w:sz w:val="21"/>
          <w:szCs w:val="21"/>
        </w:rPr>
        <w:t>：1、</w:t>
      </w:r>
      <w:r>
        <w:rPr>
          <w:rFonts w:hint="eastAsia" w:ascii="宋体" w:hAnsi="宋体" w:eastAsia="宋体" w:cs="宋体"/>
          <w:color w:val="000000"/>
          <w:spacing w:val="-4"/>
          <w:sz w:val="21"/>
          <w:szCs w:val="21"/>
        </w:rPr>
        <w:t>排放增减量：（+）表示增加，（-）表示减少。2、(12)=(6)-(8)-(11)，（9）= (4)-(5)-(8)- (11) +（1）。3、计量单位：废水排放量——万吨/年；废气排放量——万标立方米/年；工业固体废物排放</w:t>
      </w:r>
      <w:r>
        <w:rPr>
          <w:rFonts w:hint="eastAsia" w:ascii="宋体" w:hAnsi="宋体" w:eastAsia="宋体" w:cs="宋体"/>
          <w:color w:val="000000"/>
          <w:sz w:val="21"/>
          <w:szCs w:val="21"/>
        </w:rPr>
        <w:t>量——万吨/年；水污染物排放浓度——毫克/升</w:t>
      </w:r>
    </w:p>
    <w:p>
      <w:pPr>
        <w:pStyle w:val="27"/>
        <w:spacing w:before="0" w:beforeAutospacing="0" w:after="0" w:afterAutospacing="0" w:line="360" w:lineRule="exact"/>
        <w:jc w:val="both"/>
        <w:outlineLvl w:val="0"/>
        <w:rPr>
          <w:rFonts w:hint="eastAsia" w:ascii="宋体" w:hAnsi="宋体" w:eastAsia="宋体" w:cs="宋体"/>
          <w:b/>
          <w:color w:val="000000"/>
          <w:sz w:val="21"/>
          <w:szCs w:val="21"/>
        </w:rPr>
        <w:sectPr>
          <w:footerReference r:id="rId13" w:type="default"/>
          <w:pgSz w:w="16838" w:h="11906" w:orient="landscape"/>
          <w:pgMar w:top="1800" w:right="1440" w:bottom="1800" w:left="1440" w:header="708" w:footer="708" w:gutter="0"/>
          <w:cols w:space="720" w:num="1"/>
          <w:docGrid w:linePitch="360" w:charSpace="0"/>
        </w:sect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0"/>
        <w:spacing w:after="0" w:line="360" w:lineRule="auto"/>
        <w:ind w:firstLine="0" w:firstLineChars="0"/>
        <w:jc w:val="center"/>
        <w:rPr>
          <w:rFonts w:eastAsia="宋体"/>
          <w:b/>
          <w:bCs/>
          <w:sz w:val="144"/>
          <w:szCs w:val="144"/>
        </w:rPr>
      </w:pPr>
      <w:bookmarkStart w:id="23" w:name="_Toc20594_WPSOffice_Level1"/>
      <w:r>
        <w:rPr>
          <w:rFonts w:hint="eastAsia" w:eastAsia="宋体"/>
          <w:b/>
          <w:bCs/>
          <w:sz w:val="144"/>
          <w:szCs w:val="144"/>
        </w:rPr>
        <w:t>第</w:t>
      </w:r>
      <w:bookmarkEnd w:id="23"/>
    </w:p>
    <w:p>
      <w:pPr>
        <w:pStyle w:val="7"/>
        <w:spacing w:after="0" w:line="360" w:lineRule="auto"/>
        <w:ind w:firstLine="0" w:firstLineChars="0"/>
        <w:jc w:val="center"/>
        <w:rPr>
          <w:rFonts w:hint="eastAsia" w:ascii="宋体" w:hAnsi="宋体" w:eastAsia="宋体" w:cs="宋体"/>
          <w:b/>
          <w:bCs/>
          <w:sz w:val="144"/>
          <w:szCs w:val="144"/>
          <w:lang w:eastAsia="zh-CN"/>
        </w:rPr>
      </w:pPr>
      <w:bookmarkStart w:id="24" w:name="_Toc21669_WPSOffice_Level1"/>
      <w:r>
        <w:rPr>
          <w:rFonts w:hint="eastAsia" w:ascii="宋体" w:hAnsi="宋体" w:eastAsia="宋体" w:cs="宋体"/>
          <w:b/>
          <w:bCs/>
          <w:sz w:val="144"/>
          <w:szCs w:val="144"/>
          <w:lang w:eastAsia="zh-CN"/>
        </w:rPr>
        <w:t>二</w:t>
      </w:r>
      <w:bookmarkEnd w:id="24"/>
    </w:p>
    <w:p>
      <w:pPr>
        <w:pStyle w:val="7"/>
        <w:spacing w:after="0" w:line="360" w:lineRule="auto"/>
        <w:ind w:firstLine="0" w:firstLineChars="0"/>
        <w:jc w:val="center"/>
        <w:rPr>
          <w:rFonts w:ascii="宋体" w:hAnsi="宋体" w:eastAsia="宋体" w:cs="宋体"/>
          <w:b/>
          <w:bCs/>
          <w:sz w:val="144"/>
          <w:szCs w:val="144"/>
        </w:rPr>
      </w:pPr>
      <w:bookmarkStart w:id="25" w:name="_Toc32761_WPSOffice_Level1"/>
      <w:r>
        <w:rPr>
          <w:rFonts w:hint="eastAsia" w:ascii="宋体" w:hAnsi="宋体" w:eastAsia="宋体" w:cs="宋体"/>
          <w:b/>
          <w:bCs/>
          <w:sz w:val="144"/>
          <w:szCs w:val="144"/>
        </w:rPr>
        <w:t>部</w:t>
      </w:r>
      <w:bookmarkEnd w:id="25"/>
    </w:p>
    <w:p>
      <w:pPr>
        <w:pStyle w:val="7"/>
        <w:spacing w:after="0" w:line="360" w:lineRule="auto"/>
        <w:ind w:firstLine="0" w:firstLineChars="0"/>
        <w:jc w:val="center"/>
        <w:rPr>
          <w:rFonts w:ascii="宋体" w:hAnsi="宋体" w:eastAsia="宋体" w:cs="宋体"/>
          <w:b/>
          <w:bCs/>
          <w:sz w:val="144"/>
          <w:szCs w:val="144"/>
        </w:rPr>
      </w:pPr>
      <w:bookmarkStart w:id="26" w:name="_Toc15652_WPSOffice_Level1"/>
      <w:r>
        <w:rPr>
          <w:rFonts w:hint="eastAsia" w:ascii="宋体" w:hAnsi="宋体" w:eastAsia="宋体" w:cs="宋体"/>
          <w:b/>
          <w:bCs/>
          <w:sz w:val="144"/>
          <w:szCs w:val="144"/>
        </w:rPr>
        <w:t>份</w:t>
      </w:r>
      <w:bookmarkEnd w:id="26"/>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jc w:val="both"/>
        <w:textAlignment w:val="auto"/>
        <w:rPr>
          <w:rFonts w:hint="eastAsia" w:ascii="宋体" w:hAnsi="宋体" w:eastAsia="宋体" w:cs="宋体"/>
          <w:b/>
          <w:bCs/>
          <w:sz w:val="32"/>
          <w:szCs w:val="32"/>
        </w:rPr>
        <w:sectPr>
          <w:pgSz w:w="11906" w:h="16838"/>
          <w:pgMar w:top="1440" w:right="1800" w:bottom="1440" w:left="1800" w:header="708" w:footer="708" w:gutter="0"/>
          <w:cols w:space="720" w:num="1"/>
          <w:docGrid w:linePitch="360" w:charSpace="0"/>
        </w:sectPr>
      </w:pP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jc w:val="center"/>
        <w:textAlignment w:val="auto"/>
        <w:rPr>
          <w:rFonts w:hint="eastAsia" w:ascii="宋体" w:hAnsi="宋体" w:eastAsia="宋体" w:cs="宋体"/>
          <w:b/>
          <w:bCs/>
          <w:sz w:val="36"/>
          <w:szCs w:val="36"/>
        </w:rPr>
      </w:pPr>
      <w:bookmarkStart w:id="27" w:name="_Toc22581_WPSOffice_Level2"/>
      <w:r>
        <w:rPr>
          <w:rFonts w:hint="eastAsia" w:ascii="宋体" w:hAnsi="宋体" w:eastAsia="宋体" w:cs="宋体"/>
          <w:b/>
          <w:bCs/>
          <w:sz w:val="36"/>
          <w:szCs w:val="36"/>
        </w:rPr>
        <w:t>中国石化销售有限公司贵州黔西南石油分公司</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jc w:val="center"/>
        <w:textAlignment w:val="auto"/>
        <w:rPr>
          <w:rFonts w:hint="eastAsia" w:ascii="宋体" w:hAnsi="宋体" w:eastAsia="宋体" w:cs="宋体"/>
          <w:b/>
          <w:bCs/>
          <w:color w:val="000000"/>
          <w:sz w:val="36"/>
          <w:szCs w:val="36"/>
        </w:rPr>
      </w:pPr>
      <w:r>
        <w:rPr>
          <w:rFonts w:hint="eastAsia" w:ascii="宋体" w:hAnsi="宋体" w:eastAsia="宋体" w:cs="宋体"/>
          <w:b/>
          <w:bCs/>
          <w:sz w:val="36"/>
          <w:szCs w:val="36"/>
        </w:rPr>
        <w:t>晴隆油库建设项目</w:t>
      </w:r>
      <w:r>
        <w:rPr>
          <w:rFonts w:hint="eastAsia" w:ascii="宋体" w:hAnsi="宋体" w:eastAsia="宋体" w:cs="宋体"/>
          <w:b/>
          <w:bCs/>
          <w:color w:val="000000"/>
          <w:sz w:val="36"/>
          <w:szCs w:val="36"/>
        </w:rPr>
        <w:t>竣工环境保护验收意见</w:t>
      </w:r>
      <w:bookmarkEnd w:id="27"/>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240" w:lineRule="auto"/>
        <w:jc w:val="center"/>
        <w:textAlignment w:val="auto"/>
        <w:rPr>
          <w:rFonts w:hint="eastAsia" w:ascii="宋体" w:hAnsi="宋体" w:eastAsia="宋体" w:cs="宋体"/>
          <w:b/>
          <w:bCs/>
          <w:color w:val="000000"/>
          <w:sz w:val="32"/>
          <w:szCs w:val="32"/>
        </w:rPr>
      </w:pP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color w:val="3E3E3E"/>
          <w:sz w:val="28"/>
          <w:szCs w:val="28"/>
        </w:rPr>
      </w:pPr>
      <w:r>
        <w:rPr>
          <w:rFonts w:hint="eastAsia" w:ascii="宋体" w:hAnsi="宋体" w:eastAsia="宋体" w:cs="宋体"/>
          <w:color w:val="000000"/>
          <w:sz w:val="28"/>
          <w:szCs w:val="28"/>
        </w:rPr>
        <w:t>2018年</w:t>
      </w:r>
      <w:r>
        <w:rPr>
          <w:rFonts w:hint="eastAsia" w:ascii="宋体" w:hAnsi="宋体" w:eastAsia="宋体" w:cs="宋体"/>
          <w:color w:val="000000"/>
          <w:sz w:val="28"/>
          <w:szCs w:val="28"/>
          <w:lang w:val="en-US" w:eastAsia="zh-CN"/>
        </w:rPr>
        <w:t>12</w:t>
      </w:r>
      <w:r>
        <w:rPr>
          <w:rFonts w:hint="eastAsia" w:ascii="宋体" w:hAnsi="宋体" w:eastAsia="宋体" w:cs="宋体"/>
          <w:color w:val="000000"/>
          <w:sz w:val="28"/>
          <w:szCs w:val="28"/>
        </w:rPr>
        <w:t>月</w:t>
      </w:r>
      <w:r>
        <w:rPr>
          <w:rFonts w:hint="eastAsia" w:ascii="宋体" w:hAnsi="宋体" w:eastAsia="宋体" w:cs="宋体"/>
          <w:color w:val="000000"/>
          <w:sz w:val="28"/>
          <w:szCs w:val="28"/>
          <w:lang w:val="en-US" w:eastAsia="zh-CN"/>
        </w:rPr>
        <w:t>26</w:t>
      </w:r>
      <w:r>
        <w:rPr>
          <w:rFonts w:hint="eastAsia" w:ascii="宋体" w:hAnsi="宋体" w:eastAsia="宋体" w:cs="宋体"/>
          <w:color w:val="000000"/>
          <w:sz w:val="28"/>
          <w:szCs w:val="28"/>
        </w:rPr>
        <w:t>日，中国石化销售有限公司贵州黔西南石油分公司</w:t>
      </w:r>
      <w:r>
        <w:rPr>
          <w:rFonts w:hint="eastAsia" w:ascii="宋体" w:hAnsi="宋体" w:eastAsia="宋体" w:cs="宋体"/>
          <w:color w:val="000000"/>
          <w:sz w:val="28"/>
          <w:szCs w:val="28"/>
          <w:lang w:eastAsia="zh-CN"/>
        </w:rPr>
        <w:t>，</w:t>
      </w:r>
      <w:r>
        <w:rPr>
          <w:rFonts w:hint="eastAsia" w:ascii="宋体" w:hAnsi="宋体" w:eastAsia="宋体" w:cs="宋体"/>
          <w:color w:val="000000"/>
          <w:sz w:val="28"/>
          <w:szCs w:val="28"/>
        </w:rPr>
        <w:t>依据中国石化销售有限公司贵州黔西南石油分公司晴隆油库建设项目竣工环境保护验收监测报告表，并对照《建设项目竣工环境保护验收暂行办法》，严格依照国家有关法律法规、建设项目竣工环境保护验收技术指南、本项目环境影响评价报告表和审批部门审批决定等要求对本项目进行验收，提出意见如下：</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ascii="宋体" w:hAnsi="宋体" w:eastAsia="宋体" w:cs="宋体"/>
          <w:b/>
          <w:bCs/>
          <w:color w:val="3E3E3E"/>
          <w:sz w:val="28"/>
          <w:szCs w:val="28"/>
        </w:rPr>
      </w:pPr>
      <w:bookmarkStart w:id="28" w:name="_Toc2839_WPSOffice_Level2"/>
      <w:r>
        <w:rPr>
          <w:rFonts w:hint="eastAsia" w:ascii="宋体" w:hAnsi="宋体" w:eastAsia="宋体" w:cs="宋体"/>
          <w:b/>
          <w:bCs/>
          <w:color w:val="000000"/>
          <w:sz w:val="28"/>
          <w:szCs w:val="28"/>
        </w:rPr>
        <w:t>一、工程建设基本情况</w:t>
      </w:r>
      <w:bookmarkEnd w:id="28"/>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ascii="宋体" w:hAnsi="宋体" w:eastAsia="宋体" w:cs="宋体"/>
          <w:b/>
          <w:bCs/>
          <w:color w:val="000000"/>
          <w:sz w:val="28"/>
          <w:szCs w:val="28"/>
        </w:rPr>
      </w:pPr>
      <w:r>
        <w:rPr>
          <w:rFonts w:hint="eastAsia" w:ascii="宋体" w:hAnsi="宋体" w:eastAsia="宋体" w:cs="宋体"/>
          <w:b/>
          <w:bCs/>
          <w:color w:val="000000"/>
          <w:sz w:val="28"/>
          <w:szCs w:val="28"/>
        </w:rPr>
        <w:t>（一）建设地点、规模、主要建设内容</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1"/>
        <w:rPr>
          <w:rFonts w:hint="eastAsia" w:ascii="宋体" w:hAnsi="宋体" w:eastAsia="宋体" w:cs="宋体"/>
          <w:sz w:val="28"/>
          <w:szCs w:val="28"/>
        </w:rPr>
      </w:pPr>
      <w:r>
        <w:rPr>
          <w:rFonts w:hint="eastAsia" w:ascii="宋体" w:hAnsi="宋体" w:eastAsia="宋体" w:cs="宋体"/>
          <w:sz w:val="28"/>
          <w:szCs w:val="28"/>
        </w:rPr>
        <w:t>项目位于晴隆县沙子镇沙子村，占地面积51186平方米，建设规模：罐区总容积12000m³，储存汽油3000m³，柴油9000m³。含4000m³柴油储罐2座，1000m³柴油储罐1座，1000m³汽油储罐1座，500m³汽油储罐4座。总建筑面积3014㎡、4罐区总面积4288㎡、柴油灌区1888㎡，汽、柴油灌区2400㎡；泵区3300㎡、发油区629㎡、油库综合楼650㎡，2层泵站综合楼756㎡3层，业务室40㎡单层，警消室50㎡单层，值班50㎡单层，发电房120㎡单层，配电房375㎡单层，泵站宿舍182㎡单层，消防泵房162㎡单层，油水分离池200m³、化粪池10m³、事故应急池</w:t>
      </w:r>
      <w:r>
        <w:rPr>
          <w:rFonts w:hint="eastAsia" w:ascii="宋体" w:hAnsi="宋体" w:eastAsia="宋体" w:cs="宋体"/>
          <w:sz w:val="28"/>
          <w:szCs w:val="28"/>
          <w:lang w:val="en-US" w:eastAsia="zh-CN"/>
        </w:rPr>
        <w:t>2000</w:t>
      </w:r>
      <w:r>
        <w:rPr>
          <w:rFonts w:hint="eastAsia" w:ascii="宋体" w:hAnsi="宋体" w:eastAsia="宋体" w:cs="宋体"/>
          <w:sz w:val="28"/>
          <w:szCs w:val="28"/>
        </w:rPr>
        <w:t>m³、绿化面积1000㎡；周转规模：成品油周转总量35万吨/年，其中汽油8.75万吨/年，柴油26.25万吨/年。</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1"/>
        <w:rPr>
          <w:rFonts w:ascii="宋体" w:hAnsi="宋体" w:eastAsia="宋体" w:cs="宋体"/>
          <w:b/>
          <w:sz w:val="28"/>
          <w:szCs w:val="28"/>
        </w:rPr>
      </w:pPr>
      <w:r>
        <w:rPr>
          <w:rFonts w:hint="eastAsia" w:ascii="宋体" w:hAnsi="宋体" w:eastAsia="宋体" w:cs="宋体"/>
          <w:b/>
          <w:sz w:val="28"/>
          <w:szCs w:val="28"/>
        </w:rPr>
        <w:t>（二）建设过程及环保审批情况</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textAlignment w:val="auto"/>
        <w:rPr>
          <w:rFonts w:ascii="宋体" w:hAnsi="宋体" w:eastAsia="宋体" w:cs="宋体"/>
          <w:color w:val="auto"/>
          <w:sz w:val="28"/>
          <w:szCs w:val="28"/>
        </w:rPr>
      </w:pPr>
      <w:r>
        <w:rPr>
          <w:rFonts w:hint="eastAsia" w:ascii="宋体" w:hAnsi="宋体" w:eastAsia="宋体" w:cs="宋体"/>
          <w:color w:val="auto"/>
          <w:sz w:val="28"/>
          <w:szCs w:val="28"/>
        </w:rPr>
        <w:t>20</w:t>
      </w:r>
      <w:r>
        <w:rPr>
          <w:rFonts w:hint="eastAsia" w:ascii="宋体" w:hAnsi="宋体" w:eastAsia="宋体" w:cs="宋体"/>
          <w:color w:val="auto"/>
          <w:sz w:val="28"/>
          <w:szCs w:val="28"/>
          <w:lang w:val="en-US" w:eastAsia="zh-CN"/>
        </w:rPr>
        <w:t>07</w:t>
      </w:r>
      <w:r>
        <w:rPr>
          <w:rFonts w:hint="eastAsia" w:ascii="宋体" w:hAnsi="宋体" w:eastAsia="宋体" w:cs="宋体"/>
          <w:color w:val="auto"/>
          <w:sz w:val="28"/>
          <w:szCs w:val="28"/>
        </w:rPr>
        <w:t>年1</w:t>
      </w: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月1</w:t>
      </w:r>
      <w:r>
        <w:rPr>
          <w:rFonts w:hint="eastAsia" w:ascii="宋体" w:hAnsi="宋体" w:eastAsia="宋体" w:cs="宋体"/>
          <w:color w:val="auto"/>
          <w:sz w:val="28"/>
          <w:szCs w:val="28"/>
          <w:lang w:val="en-US" w:eastAsia="zh-CN"/>
        </w:rPr>
        <w:t>7</w:t>
      </w:r>
      <w:r>
        <w:rPr>
          <w:rFonts w:hint="eastAsia" w:ascii="宋体" w:hAnsi="宋体" w:eastAsia="宋体" w:cs="宋体"/>
          <w:color w:val="auto"/>
          <w:sz w:val="28"/>
          <w:szCs w:val="28"/>
        </w:rPr>
        <w:t>日，中国石化销售有限公司贵州黔西南石油分公司</w:t>
      </w:r>
      <w:r>
        <w:rPr>
          <w:rFonts w:hint="eastAsia" w:ascii="宋体" w:hAnsi="宋体" w:eastAsia="宋体" w:cs="宋体"/>
          <w:color w:val="auto"/>
          <w:sz w:val="28"/>
          <w:szCs w:val="28"/>
          <w:lang w:eastAsia="zh-CN"/>
        </w:rPr>
        <w:t>取得中石化晴隆油库扩容改造批复，贵州省经济贸易委员会文件</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黔经贸贸易</w:t>
      </w:r>
      <w:r>
        <w:rPr>
          <w:rFonts w:hint="eastAsia" w:ascii="宋体" w:hAnsi="宋体" w:eastAsia="宋体" w:cs="宋体"/>
          <w:color w:val="auto"/>
          <w:sz w:val="28"/>
          <w:szCs w:val="28"/>
        </w:rPr>
        <w:t>[20</w:t>
      </w:r>
      <w:r>
        <w:rPr>
          <w:rFonts w:hint="eastAsia" w:ascii="宋体" w:hAnsi="宋体" w:eastAsia="宋体" w:cs="宋体"/>
          <w:color w:val="auto"/>
          <w:sz w:val="28"/>
          <w:szCs w:val="28"/>
          <w:lang w:val="en-US" w:eastAsia="zh-CN"/>
        </w:rPr>
        <w:t>07</w:t>
      </w:r>
      <w:r>
        <w:rPr>
          <w:rFonts w:hint="eastAsia" w:ascii="宋体" w:hAnsi="宋体" w:eastAsia="宋体" w:cs="宋体"/>
          <w:color w:val="auto"/>
          <w:sz w:val="28"/>
          <w:szCs w:val="28"/>
        </w:rPr>
        <w:t>]</w:t>
      </w:r>
      <w:r>
        <w:rPr>
          <w:rFonts w:hint="eastAsia" w:ascii="宋体" w:hAnsi="宋体" w:eastAsia="宋体" w:cs="宋体"/>
          <w:color w:val="auto"/>
          <w:sz w:val="28"/>
          <w:szCs w:val="28"/>
          <w:lang w:val="en-US" w:eastAsia="zh-CN"/>
        </w:rPr>
        <w:t>41</w:t>
      </w:r>
      <w:r>
        <w:rPr>
          <w:rFonts w:hint="eastAsia" w:ascii="宋体" w:hAnsi="宋体" w:eastAsia="宋体" w:cs="宋体"/>
          <w:color w:val="auto"/>
          <w:sz w:val="28"/>
          <w:szCs w:val="28"/>
        </w:rPr>
        <w:t>号）。20</w:t>
      </w:r>
      <w:r>
        <w:rPr>
          <w:rFonts w:hint="eastAsia" w:ascii="宋体" w:hAnsi="宋体" w:eastAsia="宋体" w:cs="宋体"/>
          <w:color w:val="auto"/>
          <w:sz w:val="28"/>
          <w:szCs w:val="28"/>
          <w:lang w:val="en-US" w:eastAsia="zh-CN"/>
        </w:rPr>
        <w:t>06</w:t>
      </w:r>
      <w:r>
        <w:rPr>
          <w:rFonts w:hint="eastAsia" w:ascii="宋体" w:hAnsi="宋体" w:eastAsia="宋体" w:cs="宋体"/>
          <w:color w:val="auto"/>
          <w:sz w:val="28"/>
          <w:szCs w:val="28"/>
        </w:rPr>
        <w:t>年1</w:t>
      </w:r>
      <w:r>
        <w:rPr>
          <w:rFonts w:hint="eastAsia" w:ascii="宋体" w:hAnsi="宋体" w:eastAsia="宋体" w:cs="宋体"/>
          <w:color w:val="auto"/>
          <w:sz w:val="28"/>
          <w:szCs w:val="28"/>
          <w:lang w:val="en-US" w:eastAsia="zh-CN"/>
        </w:rPr>
        <w:t>1</w:t>
      </w:r>
      <w:r>
        <w:rPr>
          <w:rFonts w:hint="eastAsia" w:ascii="宋体" w:hAnsi="宋体" w:eastAsia="宋体" w:cs="宋体"/>
          <w:color w:val="auto"/>
          <w:sz w:val="28"/>
          <w:szCs w:val="28"/>
        </w:rPr>
        <w:t>月，</w:t>
      </w:r>
      <w:r>
        <w:rPr>
          <w:rFonts w:hint="eastAsia" w:ascii="宋体" w:hAnsi="宋体" w:eastAsia="宋体" w:cs="宋体"/>
          <w:color w:val="auto"/>
          <w:sz w:val="28"/>
          <w:szCs w:val="28"/>
          <w:lang w:eastAsia="zh-CN"/>
        </w:rPr>
        <w:t>取得晴隆油库中华人民共和国国有土地使用证</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晴府国用</w:t>
      </w:r>
      <w:r>
        <w:rPr>
          <w:rFonts w:hint="eastAsia" w:ascii="宋体" w:hAnsi="宋体" w:eastAsia="宋体" w:cs="宋体"/>
          <w:color w:val="auto"/>
          <w:sz w:val="28"/>
          <w:szCs w:val="28"/>
        </w:rPr>
        <w:t>[20</w:t>
      </w:r>
      <w:r>
        <w:rPr>
          <w:rFonts w:hint="eastAsia" w:ascii="宋体" w:hAnsi="宋体" w:eastAsia="宋体" w:cs="宋体"/>
          <w:color w:val="auto"/>
          <w:sz w:val="28"/>
          <w:szCs w:val="28"/>
          <w:lang w:val="en-US" w:eastAsia="zh-CN"/>
        </w:rPr>
        <w:t>0</w:t>
      </w:r>
      <w:r>
        <w:rPr>
          <w:rFonts w:hint="eastAsia" w:ascii="宋体" w:hAnsi="宋体" w:eastAsia="宋体" w:cs="宋体"/>
          <w:color w:val="auto"/>
          <w:sz w:val="28"/>
          <w:szCs w:val="28"/>
        </w:rPr>
        <w:t>6]</w:t>
      </w:r>
      <w:r>
        <w:rPr>
          <w:rFonts w:hint="eastAsia" w:ascii="宋体" w:hAnsi="宋体" w:eastAsia="宋体" w:cs="宋体"/>
          <w:color w:val="auto"/>
          <w:sz w:val="28"/>
          <w:szCs w:val="28"/>
          <w:lang w:eastAsia="zh-CN"/>
        </w:rPr>
        <w:t>字第</w:t>
      </w:r>
      <w:r>
        <w:rPr>
          <w:rFonts w:hint="eastAsia" w:ascii="宋体" w:hAnsi="宋体" w:eastAsia="宋体" w:cs="宋体"/>
          <w:color w:val="auto"/>
          <w:sz w:val="28"/>
          <w:szCs w:val="28"/>
          <w:lang w:val="en-US" w:eastAsia="zh-CN"/>
        </w:rPr>
        <w:t>179</w:t>
      </w:r>
      <w:r>
        <w:rPr>
          <w:rFonts w:hint="eastAsia" w:ascii="宋体" w:hAnsi="宋体" w:eastAsia="宋体" w:cs="宋体"/>
          <w:color w:val="auto"/>
          <w:sz w:val="28"/>
          <w:szCs w:val="28"/>
        </w:rPr>
        <w:t>号）。201</w:t>
      </w:r>
      <w:r>
        <w:rPr>
          <w:rFonts w:hint="eastAsia" w:ascii="宋体" w:hAnsi="宋体" w:eastAsia="宋体" w:cs="宋体"/>
          <w:color w:val="auto"/>
          <w:sz w:val="28"/>
          <w:szCs w:val="28"/>
          <w:lang w:val="en-US" w:eastAsia="zh-CN"/>
        </w:rPr>
        <w:t>7</w:t>
      </w:r>
      <w:r>
        <w:rPr>
          <w:rFonts w:hint="eastAsia" w:ascii="宋体" w:hAnsi="宋体" w:eastAsia="宋体" w:cs="宋体"/>
          <w:color w:val="auto"/>
          <w:sz w:val="28"/>
          <w:szCs w:val="28"/>
        </w:rPr>
        <w:t>年</w:t>
      </w:r>
      <w:r>
        <w:rPr>
          <w:rFonts w:hint="eastAsia" w:ascii="宋体" w:hAnsi="宋体" w:eastAsia="宋体" w:cs="宋体"/>
          <w:color w:val="auto"/>
          <w:sz w:val="28"/>
          <w:szCs w:val="28"/>
          <w:lang w:val="en-US" w:eastAsia="zh-CN"/>
        </w:rPr>
        <w:t>12</w:t>
      </w:r>
      <w:r>
        <w:rPr>
          <w:rFonts w:hint="eastAsia" w:ascii="宋体" w:hAnsi="宋体" w:eastAsia="宋体" w:cs="宋体"/>
          <w:color w:val="auto"/>
          <w:sz w:val="28"/>
          <w:szCs w:val="28"/>
        </w:rPr>
        <w:t>月中国石化销售有限公司贵州黔西南石油分公司报批了由贵州绿宏环保科技有限公司编制的《中国石化销售有限公司贵州黔西南石油分公司晴隆油库建设项目》环境影响报告表，并取得了《中国石化销售有限公司贵州黔西南石油分公司晴隆油库建设项目环境影响报告表》的</w:t>
      </w:r>
      <w:r>
        <w:rPr>
          <w:rFonts w:hint="eastAsia" w:ascii="宋体" w:hAnsi="宋体" w:eastAsia="宋体" w:cs="宋体"/>
          <w:color w:val="auto"/>
          <w:sz w:val="28"/>
          <w:szCs w:val="28"/>
          <w:lang w:eastAsia="zh-CN"/>
        </w:rPr>
        <w:t>核准意见</w:t>
      </w:r>
      <w:r>
        <w:rPr>
          <w:rFonts w:hint="eastAsia" w:ascii="宋体" w:hAnsi="宋体" w:eastAsia="宋体" w:cs="宋体"/>
          <w:color w:val="auto"/>
          <w:sz w:val="28"/>
          <w:szCs w:val="28"/>
        </w:rPr>
        <w:t>（</w:t>
      </w:r>
      <w:r>
        <w:rPr>
          <w:rFonts w:hint="eastAsia" w:ascii="宋体" w:hAnsi="宋体" w:eastAsia="宋体" w:cs="宋体"/>
          <w:color w:val="auto"/>
          <w:sz w:val="28"/>
          <w:szCs w:val="28"/>
          <w:lang w:eastAsia="zh-CN"/>
        </w:rPr>
        <w:t>晴环核</w:t>
      </w:r>
      <w:r>
        <w:rPr>
          <w:rFonts w:hint="eastAsia" w:ascii="宋体" w:hAnsi="宋体" w:eastAsia="宋体" w:cs="宋体"/>
          <w:color w:val="auto"/>
          <w:sz w:val="28"/>
          <w:szCs w:val="28"/>
        </w:rPr>
        <w:t>[201</w:t>
      </w:r>
      <w:r>
        <w:rPr>
          <w:rFonts w:hint="eastAsia" w:ascii="宋体" w:hAnsi="宋体" w:eastAsia="宋体" w:cs="宋体"/>
          <w:color w:val="auto"/>
          <w:sz w:val="28"/>
          <w:szCs w:val="28"/>
          <w:lang w:val="en-US" w:eastAsia="zh-CN"/>
        </w:rPr>
        <w:t>8</w:t>
      </w:r>
      <w:r>
        <w:rPr>
          <w:rFonts w:hint="eastAsia" w:ascii="宋体" w:hAnsi="宋体" w:eastAsia="宋体" w:cs="宋体"/>
          <w:color w:val="auto"/>
          <w:sz w:val="28"/>
          <w:szCs w:val="28"/>
        </w:rPr>
        <w:t>]</w:t>
      </w:r>
      <w:r>
        <w:rPr>
          <w:rFonts w:hint="eastAsia" w:ascii="宋体" w:hAnsi="宋体" w:eastAsia="宋体" w:cs="宋体"/>
          <w:color w:val="auto"/>
          <w:sz w:val="28"/>
          <w:szCs w:val="28"/>
          <w:lang w:val="en-US" w:eastAsia="zh-CN"/>
        </w:rPr>
        <w:t>3</w:t>
      </w:r>
      <w:r>
        <w:rPr>
          <w:rFonts w:hint="eastAsia" w:ascii="宋体" w:hAnsi="宋体" w:eastAsia="宋体" w:cs="宋体"/>
          <w:color w:val="auto"/>
          <w:sz w:val="28"/>
          <w:szCs w:val="28"/>
        </w:rPr>
        <w:t>号）。</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kern w:val="2"/>
          <w:sz w:val="28"/>
          <w:szCs w:val="28"/>
        </w:rPr>
      </w:pPr>
      <w:r>
        <w:rPr>
          <w:rFonts w:hint="eastAsia" w:ascii="宋体" w:hAnsi="宋体" w:eastAsia="宋体" w:cs="宋体"/>
          <w:sz w:val="28"/>
          <w:szCs w:val="28"/>
        </w:rPr>
        <w:t>项目于2006年开工建设，2008年竣工，职工定员23人，含管理人员1人，操作人员22人。实行两班制，每班11人，长期食宿人员8人，年工作330天。</w:t>
      </w:r>
      <w:r>
        <w:rPr>
          <w:rFonts w:hint="eastAsia" w:ascii="宋体" w:hAnsi="宋体" w:eastAsia="宋体" w:cs="宋体"/>
          <w:kern w:val="2"/>
          <w:sz w:val="28"/>
          <w:szCs w:val="28"/>
        </w:rPr>
        <w:t>本项目建设竣工至今无环境投诉。</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1"/>
        <w:rPr>
          <w:rFonts w:ascii="宋体" w:hAnsi="宋体" w:eastAsia="宋体" w:cs="宋体"/>
          <w:b/>
          <w:bCs/>
          <w:sz w:val="28"/>
          <w:szCs w:val="28"/>
        </w:rPr>
      </w:pPr>
      <w:r>
        <w:rPr>
          <w:rFonts w:hint="eastAsia" w:ascii="宋体" w:hAnsi="宋体" w:eastAsia="宋体" w:cs="宋体"/>
          <w:b/>
          <w:sz w:val="28"/>
          <w:szCs w:val="28"/>
        </w:rPr>
        <w:t>（三）投资情况</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rPr>
          <w:rFonts w:ascii="宋体" w:hAnsi="宋体" w:eastAsia="宋体" w:cs="宋体"/>
          <w:b/>
          <w:sz w:val="28"/>
          <w:szCs w:val="28"/>
        </w:rPr>
      </w:pPr>
      <w:r>
        <w:rPr>
          <w:rFonts w:hint="eastAsia" w:ascii="宋体" w:hAnsi="宋体" w:eastAsia="宋体" w:cs="宋体"/>
          <w:sz w:val="28"/>
          <w:szCs w:val="28"/>
        </w:rPr>
        <w:t>项目环评指标投资总概算</w:t>
      </w:r>
      <w:r>
        <w:rPr>
          <w:rFonts w:hint="eastAsia" w:ascii="宋体" w:hAnsi="宋体" w:eastAsia="宋体" w:cs="宋体"/>
          <w:sz w:val="28"/>
          <w:szCs w:val="28"/>
          <w:lang w:val="en-US" w:eastAsia="zh-CN"/>
        </w:rPr>
        <w:t>3000</w:t>
      </w:r>
      <w:r>
        <w:rPr>
          <w:rFonts w:hint="eastAsia" w:ascii="宋体" w:hAnsi="宋体" w:eastAsia="宋体" w:cs="宋体"/>
          <w:sz w:val="28"/>
          <w:szCs w:val="28"/>
        </w:rPr>
        <w:t>万元，环保投资总概算</w:t>
      </w:r>
      <w:r>
        <w:rPr>
          <w:rFonts w:hint="eastAsia" w:ascii="宋体" w:hAnsi="宋体" w:eastAsia="宋体" w:cs="宋体"/>
          <w:color w:val="000000"/>
          <w:sz w:val="28"/>
          <w:szCs w:val="28"/>
          <w:lang w:val="en-US" w:eastAsia="zh-CN"/>
        </w:rPr>
        <w:t>101</w:t>
      </w:r>
      <w:r>
        <w:rPr>
          <w:rFonts w:hint="eastAsia" w:ascii="宋体" w:hAnsi="宋体" w:eastAsia="宋体" w:cs="宋体"/>
          <w:sz w:val="28"/>
          <w:szCs w:val="28"/>
        </w:rPr>
        <w:t>万元，比例</w:t>
      </w:r>
      <w:r>
        <w:rPr>
          <w:rFonts w:hint="eastAsia" w:ascii="宋体" w:hAnsi="宋体" w:eastAsia="宋体" w:cs="宋体"/>
          <w:sz w:val="28"/>
          <w:szCs w:val="28"/>
          <w:lang w:val="en-US" w:eastAsia="zh-CN"/>
        </w:rPr>
        <w:t>3.37</w:t>
      </w:r>
      <w:r>
        <w:rPr>
          <w:rFonts w:hint="eastAsia" w:ascii="宋体" w:hAnsi="宋体" w:eastAsia="宋体" w:cs="宋体"/>
          <w:sz w:val="28"/>
          <w:szCs w:val="28"/>
        </w:rPr>
        <w:t>%。实际总概算与环评所述一致。</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1"/>
        <w:rPr>
          <w:rFonts w:ascii="宋体" w:hAnsi="宋体" w:eastAsia="宋体" w:cs="宋体"/>
          <w:b/>
          <w:sz w:val="28"/>
          <w:szCs w:val="28"/>
        </w:rPr>
      </w:pPr>
      <w:r>
        <w:rPr>
          <w:rFonts w:hint="eastAsia" w:ascii="宋体" w:hAnsi="宋体" w:eastAsia="宋体" w:cs="宋体"/>
          <w:b/>
          <w:sz w:val="28"/>
          <w:szCs w:val="28"/>
        </w:rPr>
        <w:t>（四）验收范围</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kern w:val="2"/>
          <w:sz w:val="28"/>
          <w:szCs w:val="28"/>
        </w:rPr>
      </w:pPr>
      <w:r>
        <w:rPr>
          <w:rFonts w:hint="eastAsia" w:ascii="宋体" w:hAnsi="宋体" w:eastAsia="宋体" w:cs="宋体"/>
          <w:kern w:val="2"/>
          <w:sz w:val="28"/>
          <w:szCs w:val="28"/>
        </w:rPr>
        <w:t>1、与本建设项目有关的各项环境保护设施，包括为防治污染和保护环境所建成或配备的工程、设备、装置和监测手段。</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kern w:val="2"/>
          <w:sz w:val="28"/>
          <w:szCs w:val="28"/>
        </w:rPr>
      </w:pPr>
      <w:r>
        <w:rPr>
          <w:rFonts w:hint="eastAsia" w:ascii="宋体" w:hAnsi="宋体" w:eastAsia="宋体" w:cs="宋体"/>
          <w:kern w:val="2"/>
          <w:sz w:val="28"/>
          <w:szCs w:val="28"/>
        </w:rPr>
        <w:t>2、环境影响报告表和有关项目设计文件规定应采取的其他各项环境保护措施。</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ascii="宋体" w:hAnsi="宋体" w:eastAsia="宋体" w:cs="宋体"/>
          <w:b/>
          <w:bCs/>
          <w:kern w:val="2"/>
          <w:sz w:val="28"/>
          <w:szCs w:val="28"/>
        </w:rPr>
      </w:pPr>
      <w:bookmarkStart w:id="29" w:name="_Toc29457_WPSOffice_Level2"/>
      <w:r>
        <w:rPr>
          <w:rFonts w:hint="eastAsia" w:ascii="宋体" w:hAnsi="宋体" w:eastAsia="宋体" w:cs="宋体"/>
          <w:b/>
          <w:bCs/>
          <w:kern w:val="2"/>
          <w:sz w:val="28"/>
          <w:szCs w:val="28"/>
        </w:rPr>
        <w:t>二、建设项目变动情况</w:t>
      </w:r>
      <w:bookmarkEnd w:id="29"/>
    </w:p>
    <w:p>
      <w:pPr>
        <w:keepNext w:val="0"/>
        <w:keepLines w:val="0"/>
        <w:pageBreakBefore w:val="0"/>
        <w:kinsoku/>
        <w:wordWrap/>
        <w:overflowPunct/>
        <w:topLinePunct w:val="0"/>
        <w:autoSpaceDE w:val="0"/>
        <w:autoSpaceDN w:val="0"/>
        <w:bidi w:val="0"/>
        <w:adjustRightInd w:val="0"/>
        <w:spacing w:line="360" w:lineRule="auto"/>
        <w:ind w:firstLine="560" w:firstLineChars="200"/>
        <w:jc w:val="left"/>
        <w:textAlignment w:val="auto"/>
        <w:rPr>
          <w:rFonts w:ascii="宋体" w:hAnsi="宋体" w:eastAsia="宋体" w:cs="宋体"/>
          <w:kern w:val="0"/>
          <w:sz w:val="28"/>
          <w:szCs w:val="28"/>
        </w:rPr>
      </w:pPr>
      <w:r>
        <w:rPr>
          <w:rFonts w:hint="eastAsia" w:ascii="宋体" w:hAnsi="宋体" w:eastAsia="宋体" w:cs="宋体"/>
          <w:kern w:val="0"/>
          <w:sz w:val="28"/>
          <w:szCs w:val="28"/>
        </w:rPr>
        <w:t>本项目基本按照环评报告表及其批复要求建设，建设项目的性质、规模、地点、采取的污染防治措施无重大变化。</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rPr>
          <w:rFonts w:ascii="宋体" w:hAnsi="宋体" w:eastAsia="宋体" w:cs="宋体"/>
          <w:b/>
          <w:sz w:val="28"/>
          <w:szCs w:val="28"/>
        </w:rPr>
      </w:pPr>
      <w:bookmarkStart w:id="30" w:name="_Toc8627_WPSOffice_Level2"/>
      <w:r>
        <w:rPr>
          <w:rFonts w:hint="eastAsia" w:ascii="宋体" w:hAnsi="宋体" w:eastAsia="宋体" w:cs="宋体"/>
          <w:b/>
          <w:sz w:val="28"/>
          <w:szCs w:val="28"/>
        </w:rPr>
        <w:t>三、环境保护设施建设情况</w:t>
      </w:r>
      <w:bookmarkEnd w:id="30"/>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hint="eastAsia" w:ascii="宋体" w:hAnsi="宋体" w:eastAsia="宋体" w:cs="宋体"/>
          <w:b/>
          <w:bCs w:val="0"/>
          <w:sz w:val="28"/>
          <w:szCs w:val="28"/>
        </w:rPr>
      </w:pPr>
      <w:r>
        <w:rPr>
          <w:rFonts w:hint="eastAsia" w:ascii="宋体" w:hAnsi="宋体" w:eastAsia="宋体" w:cs="宋体"/>
          <w:b/>
          <w:bCs w:val="0"/>
          <w:sz w:val="28"/>
          <w:szCs w:val="28"/>
        </w:rPr>
        <w:t>1、大气污染物</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（1）油品装车平台汽油油气（有组织）</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项目油品装车过程中产生的油气经油气回收装置回收处理后，距地平面高度4m以上排放。油气排放浓度可满足《储油库大气污染物排放标准》（GB20952-2007）中表1排放标准(≤25g/m³)的要求。</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（2）储罐油气、管道阀门泄漏和清罐时通风排出的油气（无组织）</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项目保证油气回收装置正常、稳定、达标运行，定期检查。制订设备运行、维护规程，培训上岗，需有专人负责管理。汽油油罐采用内浮顶储罐，油罐设呼吸阀和安全阀，采用浮顶技术是油品储存中控制烃类污染的最主要的方法。项目油罐外层采用的是白色涂料或其他反光率高的涂料，最大程度地减少油罐吸收的辐射热能，减小罐体内部的温度变化，从而减少了油品小呼吸排放的烃类物质量。加强员工的操作水平，减少倒灌、装卸过程中成品油的跑、冒、滴、漏。油罐清洗前，制定好完善的清洗计划，尽可能回收罐内的残油。在油气回收装置出口及周围浓度最高点设置监测点，监控油气排放浓度，保证油气达标排放。</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hint="eastAsia" w:ascii="宋体" w:hAnsi="宋体" w:eastAsia="宋体" w:cs="宋体"/>
          <w:b/>
          <w:bCs w:val="0"/>
          <w:sz w:val="28"/>
          <w:szCs w:val="28"/>
        </w:rPr>
      </w:pPr>
      <w:r>
        <w:rPr>
          <w:rFonts w:hint="eastAsia" w:ascii="宋体" w:hAnsi="宋体" w:eastAsia="宋体" w:cs="宋体"/>
          <w:b/>
          <w:bCs w:val="0"/>
          <w:sz w:val="28"/>
          <w:szCs w:val="28"/>
        </w:rPr>
        <w:t>2、水污染物</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主要为办公生活污水及库区含油污水（主要为初期雨水）。</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项目生活污水采用分类收集方式，盥洗等较清洁废水收集后用于库区抑尘，入厕废水经化粪池收集处理后，定期清掏送与周边农户作农肥。办公区及辅助设施区域产生的初期雨水经周边雨水管网收集后经雨水沟排至厂外。项目厂区地面定期清洁，罐区、汽车装车区域产生的初期雨水，经油水分离池隔油沉淀处理后，满足《</w:t>
      </w:r>
      <w:r>
        <w:rPr>
          <w:rFonts w:hint="eastAsia" w:ascii="宋体" w:hAnsi="宋体" w:eastAsia="宋体" w:cs="宋体"/>
          <w:b w:val="0"/>
          <w:bCs/>
          <w:sz w:val="28"/>
          <w:szCs w:val="28"/>
          <w:lang w:eastAsia="zh-CN"/>
        </w:rPr>
        <w:t>污水综合</w:t>
      </w:r>
      <w:r>
        <w:rPr>
          <w:rFonts w:hint="eastAsia" w:ascii="宋体" w:hAnsi="宋体" w:eastAsia="宋体" w:cs="宋体"/>
          <w:b w:val="0"/>
          <w:bCs/>
          <w:sz w:val="28"/>
          <w:szCs w:val="28"/>
        </w:rPr>
        <w:t>排放标准》（GB8978-1996）中一级排放标准，排至厂外自然环境，项目油罐需定期由专业公司用汽油或柴油清洗，不用水清洗，不产生废水，清洗后的汽油或柴油由有危险废物处理资质的公司运走处置。</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hint="eastAsia" w:ascii="宋体" w:hAnsi="宋体" w:eastAsia="宋体" w:cs="宋体"/>
          <w:b/>
          <w:bCs w:val="0"/>
          <w:sz w:val="28"/>
          <w:szCs w:val="28"/>
        </w:rPr>
      </w:pPr>
      <w:r>
        <w:rPr>
          <w:rFonts w:hint="eastAsia" w:ascii="宋体" w:hAnsi="宋体" w:eastAsia="宋体" w:cs="宋体"/>
          <w:b/>
          <w:bCs w:val="0"/>
          <w:sz w:val="28"/>
          <w:szCs w:val="28"/>
        </w:rPr>
        <w:t>3、噪声污染</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噪声污染源为潜油泵以及卸车泵、潜液泵、增压器等工作时产生的机械噪声，装油车辆产生的交通噪声。</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lang w:eastAsia="zh-CN"/>
        </w:rPr>
      </w:pPr>
      <w:r>
        <w:rPr>
          <w:rFonts w:hint="eastAsia" w:ascii="宋体" w:hAnsi="宋体" w:eastAsia="宋体" w:cs="宋体"/>
          <w:b w:val="0"/>
          <w:bCs/>
          <w:sz w:val="28"/>
          <w:szCs w:val="28"/>
        </w:rPr>
        <w:t>项目周围建设2.5m高围墙，加强设备的管理，确保生产设备正常运营；加强进出站车辆管理，场区内限速、禁止鸣笛，特别严禁夜间进出车辆鸣笛；在不影响正常生产和满足消防要求的前提下站场周围栽种树木进行绿化；合理布局，固定产噪设备距离厂界20m以上，并尽量远离项目北侧、东北侧沙子镇居民；合理布置项目设备，高噪声设备设置在远离该敏感点一侧，同时应加强该侧植被绿化，降低本项目营运期噪声对该侧的影响</w:t>
      </w:r>
      <w:r>
        <w:rPr>
          <w:rFonts w:hint="eastAsia" w:ascii="宋体" w:hAnsi="宋体" w:eastAsia="宋体" w:cs="宋体"/>
          <w:b w:val="0"/>
          <w:bCs/>
          <w:sz w:val="28"/>
          <w:szCs w:val="28"/>
          <w:lang w:eastAsia="zh-CN"/>
        </w:rPr>
        <w:t>。</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hint="eastAsia" w:ascii="宋体" w:hAnsi="宋体" w:eastAsia="宋体" w:cs="宋体"/>
          <w:b/>
          <w:bCs w:val="0"/>
          <w:sz w:val="28"/>
          <w:szCs w:val="28"/>
        </w:rPr>
      </w:pPr>
      <w:r>
        <w:rPr>
          <w:rFonts w:hint="eastAsia" w:ascii="宋体" w:hAnsi="宋体" w:eastAsia="宋体" w:cs="宋体"/>
          <w:b/>
          <w:bCs w:val="0"/>
          <w:sz w:val="28"/>
          <w:szCs w:val="28"/>
        </w:rPr>
        <w:t>4、固体废物</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val="0"/>
          <w:bCs/>
          <w:sz w:val="28"/>
          <w:szCs w:val="28"/>
        </w:rPr>
      </w:pPr>
      <w:r>
        <w:rPr>
          <w:rFonts w:hint="eastAsia" w:ascii="宋体" w:hAnsi="宋体" w:eastAsia="宋体" w:cs="宋体"/>
          <w:b w:val="0"/>
          <w:bCs/>
          <w:sz w:val="28"/>
          <w:szCs w:val="28"/>
        </w:rPr>
        <w:t>项目运营期间产生的固体废物主要有储罐油泥、油水处理装置油污和生活垃圾。</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hint="eastAsia" w:ascii="宋体" w:hAnsi="宋体" w:eastAsia="宋体" w:cs="宋体"/>
          <w:b/>
          <w:bCs/>
          <w:sz w:val="28"/>
          <w:szCs w:val="28"/>
        </w:rPr>
      </w:pPr>
      <w:r>
        <w:rPr>
          <w:rFonts w:hint="eastAsia" w:ascii="宋体" w:hAnsi="宋体" w:eastAsia="宋体" w:cs="宋体"/>
          <w:b w:val="0"/>
          <w:bCs/>
          <w:sz w:val="28"/>
          <w:szCs w:val="28"/>
        </w:rPr>
        <w:t>储罐油泥交由专业储罐清洗单位回收处置，油水处理装置油污交由有资质的危险废物处置单位进行处理。项目产生的生活垃圾，统一收集后，由环卫部门清运处置。</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ascii="宋体" w:hAnsi="宋体" w:eastAsia="宋体" w:cs="宋体"/>
          <w:b/>
          <w:bCs/>
          <w:sz w:val="28"/>
          <w:szCs w:val="28"/>
        </w:rPr>
      </w:pPr>
      <w:r>
        <w:rPr>
          <w:rFonts w:hint="eastAsia" w:ascii="宋体" w:hAnsi="宋体" w:eastAsia="宋体" w:cs="宋体"/>
          <w:b/>
          <w:bCs/>
          <w:sz w:val="28"/>
          <w:szCs w:val="28"/>
        </w:rPr>
        <w:t>（五）辐射</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sz w:val="28"/>
          <w:szCs w:val="28"/>
        </w:rPr>
      </w:pPr>
      <w:r>
        <w:rPr>
          <w:rFonts w:hint="eastAsia" w:ascii="宋体" w:hAnsi="宋体" w:eastAsia="宋体" w:cs="宋体"/>
          <w:sz w:val="28"/>
          <w:szCs w:val="28"/>
        </w:rPr>
        <w:t>本项目无辐射污染。</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2" w:firstLineChars="200"/>
        <w:jc w:val="both"/>
        <w:textAlignment w:val="auto"/>
        <w:rPr>
          <w:rFonts w:ascii="宋体" w:hAnsi="宋体" w:eastAsia="宋体" w:cs="宋体"/>
          <w:b/>
          <w:bCs/>
          <w:sz w:val="28"/>
          <w:szCs w:val="28"/>
        </w:rPr>
      </w:pPr>
      <w:r>
        <w:rPr>
          <w:rFonts w:hint="eastAsia" w:ascii="宋体" w:hAnsi="宋体" w:eastAsia="宋体" w:cs="宋体"/>
          <w:b/>
          <w:bCs/>
          <w:sz w:val="28"/>
          <w:szCs w:val="28"/>
        </w:rPr>
        <w:t>（六）其他环境保护措施</w:t>
      </w:r>
    </w:p>
    <w:p>
      <w:pPr>
        <w:pStyle w:val="13"/>
        <w:keepNext w:val="0"/>
        <w:keepLines w:val="0"/>
        <w:pageBreakBefore w:val="0"/>
        <w:widowControl/>
        <w:shd w:val="clear" w:color="auto" w:fill="FFFFFF"/>
        <w:kinsoku/>
        <w:wordWrap/>
        <w:overflowPunct/>
        <w:topLinePunct w:val="0"/>
        <w:autoSpaceDE/>
        <w:autoSpaceDN/>
        <w:bidi w:val="0"/>
        <w:adjustRightInd w:val="0"/>
        <w:snapToGrid w:val="0"/>
        <w:spacing w:beforeAutospacing="0" w:after="0" w:afterAutospacing="0" w:line="360" w:lineRule="auto"/>
        <w:ind w:firstLine="560" w:firstLineChars="200"/>
        <w:jc w:val="both"/>
        <w:textAlignment w:val="auto"/>
        <w:rPr>
          <w:rFonts w:ascii="宋体" w:hAnsi="宋体" w:eastAsia="宋体" w:cs="宋体"/>
          <w:b/>
          <w:sz w:val="28"/>
          <w:szCs w:val="28"/>
        </w:rPr>
      </w:pPr>
      <w:r>
        <w:rPr>
          <w:rFonts w:hint="eastAsia" w:ascii="宋体" w:hAnsi="宋体" w:eastAsia="宋体" w:cs="宋体"/>
          <w:sz w:val="28"/>
          <w:szCs w:val="28"/>
        </w:rPr>
        <w:t>项目</w:t>
      </w:r>
      <w:r>
        <w:rPr>
          <w:rFonts w:hint="eastAsia" w:ascii="宋体" w:hAnsi="宋体" w:eastAsia="宋体" w:cs="宋体"/>
          <w:sz w:val="28"/>
          <w:szCs w:val="28"/>
          <w:lang w:eastAsia="zh-CN"/>
        </w:rPr>
        <w:t>无</w:t>
      </w:r>
      <w:r>
        <w:rPr>
          <w:rFonts w:hint="eastAsia" w:ascii="宋体" w:hAnsi="宋体" w:eastAsia="宋体" w:cs="宋体"/>
          <w:sz w:val="28"/>
          <w:szCs w:val="28"/>
        </w:rPr>
        <w:t>其他环境保护措施。</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0"/>
        <w:rPr>
          <w:rFonts w:ascii="宋体" w:hAnsi="宋体" w:eastAsia="宋体" w:cs="宋体"/>
          <w:b/>
          <w:sz w:val="28"/>
          <w:szCs w:val="28"/>
        </w:rPr>
      </w:pPr>
      <w:bookmarkStart w:id="31" w:name="_Toc26824_WPSOffice_Level2"/>
      <w:r>
        <w:rPr>
          <w:rFonts w:hint="eastAsia" w:ascii="宋体" w:hAnsi="宋体" w:eastAsia="宋体" w:cs="宋体"/>
          <w:b/>
          <w:sz w:val="28"/>
          <w:szCs w:val="28"/>
        </w:rPr>
        <w:t>四、环境保护设施调试效果</w:t>
      </w:r>
      <w:bookmarkEnd w:id="31"/>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1"/>
        <w:rPr>
          <w:rFonts w:ascii="宋体" w:hAnsi="宋体" w:eastAsia="宋体" w:cs="宋体"/>
          <w:b/>
          <w:sz w:val="28"/>
          <w:szCs w:val="28"/>
        </w:rPr>
      </w:pPr>
      <w:r>
        <w:rPr>
          <w:rFonts w:hint="eastAsia" w:ascii="宋体" w:hAnsi="宋体" w:eastAsia="宋体" w:cs="宋体"/>
          <w:b/>
          <w:sz w:val="28"/>
          <w:szCs w:val="28"/>
        </w:rPr>
        <w:t>（一）环保设施处理效率</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rPr>
          <w:rFonts w:ascii="宋体" w:hAnsi="宋体" w:eastAsia="宋体" w:cs="宋体"/>
          <w:b/>
          <w:sz w:val="28"/>
          <w:szCs w:val="28"/>
        </w:rPr>
      </w:pPr>
      <w:r>
        <w:rPr>
          <w:rFonts w:hint="eastAsia" w:ascii="宋体" w:hAnsi="宋体" w:eastAsia="宋体" w:cs="宋体"/>
          <w:b/>
          <w:sz w:val="28"/>
          <w:szCs w:val="28"/>
        </w:rPr>
        <w:t>（</w:t>
      </w:r>
      <w:r>
        <w:rPr>
          <w:rFonts w:hint="eastAsia" w:ascii="宋体" w:hAnsi="宋体" w:eastAsia="宋体" w:cs="宋体"/>
          <w:b/>
          <w:sz w:val="28"/>
          <w:szCs w:val="28"/>
          <w:lang w:val="en-US" w:eastAsia="zh-CN"/>
        </w:rPr>
        <w:t>1</w:t>
      </w:r>
      <w:r>
        <w:rPr>
          <w:rFonts w:hint="eastAsia" w:ascii="宋体" w:hAnsi="宋体" w:eastAsia="宋体" w:cs="宋体"/>
          <w:b/>
          <w:sz w:val="28"/>
          <w:szCs w:val="28"/>
        </w:rPr>
        <w:t>）废气治理设施</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1"/>
        <w:rPr>
          <w:rFonts w:hint="eastAsia" w:ascii="宋体" w:hAnsi="宋体" w:eastAsia="宋体" w:cs="宋体"/>
          <w:bCs/>
          <w:sz w:val="28"/>
          <w:szCs w:val="28"/>
        </w:rPr>
      </w:pPr>
      <w:r>
        <w:rPr>
          <w:rFonts w:hint="eastAsia" w:ascii="宋体" w:hAnsi="宋体" w:eastAsia="宋体" w:cs="宋体"/>
          <w:bCs/>
          <w:sz w:val="28"/>
          <w:szCs w:val="28"/>
        </w:rPr>
        <w:t>项目环评要求废气（油气）环保设施处理效率达到95%，实际废气（油气）处理效率为99.5%，达到环评要求处理效率。</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rPr>
          <w:rFonts w:hint="eastAsia" w:ascii="宋体" w:hAnsi="宋体" w:eastAsia="宋体" w:cs="宋体"/>
          <w:bCs/>
          <w:sz w:val="28"/>
          <w:szCs w:val="28"/>
        </w:rPr>
      </w:pPr>
      <w:r>
        <w:rPr>
          <w:rFonts w:hint="eastAsia" w:ascii="宋体" w:hAnsi="宋体" w:eastAsia="宋体" w:cs="宋体"/>
          <w:b/>
          <w:sz w:val="28"/>
          <w:szCs w:val="28"/>
        </w:rPr>
        <w:t>（</w:t>
      </w:r>
      <w:r>
        <w:rPr>
          <w:rFonts w:hint="eastAsia" w:ascii="宋体" w:hAnsi="宋体" w:eastAsia="宋体" w:cs="宋体"/>
          <w:b/>
          <w:sz w:val="28"/>
          <w:szCs w:val="28"/>
          <w:lang w:val="en-US" w:eastAsia="zh-CN"/>
        </w:rPr>
        <w:t>2</w:t>
      </w:r>
      <w:r>
        <w:rPr>
          <w:rFonts w:hint="eastAsia" w:ascii="宋体" w:hAnsi="宋体" w:eastAsia="宋体" w:cs="宋体"/>
          <w:b/>
          <w:sz w:val="28"/>
          <w:szCs w:val="28"/>
        </w:rPr>
        <w:t>）</w:t>
      </w:r>
      <w:r>
        <w:rPr>
          <w:rFonts w:hint="eastAsia" w:ascii="宋体" w:hAnsi="宋体" w:eastAsia="宋体" w:cs="宋体"/>
          <w:b/>
          <w:sz w:val="28"/>
          <w:szCs w:val="28"/>
          <w:lang w:eastAsia="zh-CN"/>
        </w:rPr>
        <w:t>废水</w:t>
      </w:r>
      <w:r>
        <w:rPr>
          <w:rFonts w:hint="eastAsia" w:ascii="宋体" w:hAnsi="宋体" w:eastAsia="宋体" w:cs="宋体"/>
          <w:b/>
          <w:sz w:val="28"/>
          <w:szCs w:val="28"/>
        </w:rPr>
        <w:t>治理设施</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1"/>
        <w:rPr>
          <w:rFonts w:hint="eastAsia" w:ascii="宋体" w:hAnsi="宋体" w:eastAsia="宋体" w:cs="宋体"/>
          <w:b/>
          <w:sz w:val="28"/>
          <w:szCs w:val="28"/>
        </w:rPr>
      </w:pPr>
      <w:r>
        <w:rPr>
          <w:rFonts w:hint="eastAsia" w:ascii="宋体" w:hAnsi="宋体" w:eastAsia="宋体" w:cs="宋体"/>
          <w:bCs/>
          <w:sz w:val="28"/>
          <w:szCs w:val="28"/>
        </w:rPr>
        <w:t>对于废水环保设施处理效率，环评报告表及批复未作要求。</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1"/>
        <w:rPr>
          <w:rFonts w:ascii="宋体" w:hAnsi="宋体" w:eastAsia="宋体" w:cs="宋体"/>
          <w:b/>
          <w:sz w:val="28"/>
          <w:szCs w:val="28"/>
        </w:rPr>
      </w:pPr>
      <w:r>
        <w:rPr>
          <w:rFonts w:hint="eastAsia" w:ascii="宋体" w:hAnsi="宋体" w:eastAsia="宋体" w:cs="宋体"/>
          <w:b/>
          <w:sz w:val="28"/>
          <w:szCs w:val="28"/>
        </w:rPr>
        <w:t>（二）污染物排放情况</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2"/>
        <w:rPr>
          <w:rFonts w:hint="eastAsia" w:ascii="宋体" w:hAnsi="宋体" w:eastAsia="宋体" w:cs="宋体"/>
          <w:bCs/>
          <w:sz w:val="28"/>
          <w:szCs w:val="28"/>
        </w:rPr>
      </w:pPr>
      <w:r>
        <w:rPr>
          <w:rFonts w:hint="eastAsia" w:ascii="宋体" w:hAnsi="宋体" w:eastAsia="宋体" w:cs="宋体"/>
          <w:b/>
          <w:sz w:val="28"/>
          <w:szCs w:val="28"/>
        </w:rPr>
        <w:t>（1）废</w:t>
      </w:r>
      <w:r>
        <w:rPr>
          <w:rFonts w:hint="eastAsia" w:ascii="宋体" w:hAnsi="宋体" w:eastAsia="宋体" w:cs="宋体"/>
          <w:b/>
          <w:sz w:val="28"/>
          <w:szCs w:val="28"/>
          <w:lang w:eastAsia="zh-CN"/>
        </w:rPr>
        <w:t>气</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2"/>
        <w:rPr>
          <w:rFonts w:hint="eastAsia" w:eastAsia="宋体"/>
          <w:sz w:val="28"/>
          <w:szCs w:val="28"/>
          <w:lang w:eastAsia="zh-CN"/>
        </w:rPr>
      </w:pPr>
      <w:r>
        <w:rPr>
          <w:rFonts w:hint="eastAsia" w:ascii="宋体" w:hAnsi="宋体" w:eastAsia="宋体" w:cs="宋体"/>
          <w:bCs/>
          <w:sz w:val="28"/>
          <w:szCs w:val="28"/>
          <w:lang w:eastAsia="zh-CN"/>
        </w:rPr>
        <w:t>项目</w:t>
      </w:r>
      <w:r>
        <w:rPr>
          <w:rFonts w:hint="eastAsia" w:ascii="宋体" w:hAnsi="宋体" w:eastAsia="宋体" w:cs="宋体"/>
          <w:bCs/>
          <w:sz w:val="28"/>
          <w:szCs w:val="28"/>
        </w:rPr>
        <w:t>有组织废气满足《储油库大气污染物排放标准》（GB20950-2007）中表1处理装置油气排放限值要求。</w:t>
      </w:r>
      <w:r>
        <w:rPr>
          <w:rFonts w:hint="eastAsia" w:ascii="宋体" w:hAnsi="宋体" w:eastAsia="宋体" w:cs="宋体"/>
          <w:bCs/>
          <w:sz w:val="28"/>
          <w:szCs w:val="28"/>
          <w:lang w:eastAsia="zh-CN"/>
        </w:rPr>
        <w:t>项目</w:t>
      </w:r>
      <w:r>
        <w:rPr>
          <w:rFonts w:hint="eastAsia" w:ascii="宋体" w:hAnsi="宋体" w:eastAsia="宋体" w:cs="宋体"/>
          <w:bCs/>
          <w:sz w:val="28"/>
          <w:szCs w:val="28"/>
        </w:rPr>
        <w:t>无组织废气非甲烷总烃满足《大气污染物综合排放标准》（GB16297-1996）表2标准限值要求</w:t>
      </w:r>
      <w:r>
        <w:rPr>
          <w:rFonts w:hint="eastAsia" w:ascii="宋体" w:hAnsi="宋体" w:eastAsia="宋体" w:cs="宋体"/>
          <w:bCs/>
          <w:sz w:val="28"/>
          <w:szCs w:val="28"/>
          <w:lang w:eastAsia="zh-CN"/>
        </w:rPr>
        <w:t>。</w:t>
      </w:r>
    </w:p>
    <w:p>
      <w:pPr>
        <w:keepNext w:val="0"/>
        <w:keepLines w:val="0"/>
        <w:pageBreakBefore w:val="0"/>
        <w:widowControl/>
        <w:numPr>
          <w:ilvl w:val="0"/>
          <w:numId w:val="5"/>
        </w:numPr>
        <w:kinsoku/>
        <w:wordWrap/>
        <w:overflowPunct/>
        <w:topLinePunct w:val="0"/>
        <w:autoSpaceDE/>
        <w:autoSpaceDN/>
        <w:bidi w:val="0"/>
        <w:adjustRightInd w:val="0"/>
        <w:snapToGrid w:val="0"/>
        <w:spacing w:after="0" w:line="360" w:lineRule="auto"/>
        <w:ind w:firstLine="562" w:firstLineChars="200"/>
        <w:jc w:val="left"/>
        <w:textAlignment w:val="auto"/>
        <w:outlineLvl w:val="2"/>
        <w:rPr>
          <w:rFonts w:hint="eastAsia" w:ascii="宋体" w:hAnsi="宋体" w:eastAsia="宋体" w:cs="宋体"/>
          <w:b/>
          <w:bCs w:val="0"/>
          <w:sz w:val="28"/>
          <w:szCs w:val="28"/>
        </w:rPr>
      </w:pPr>
      <w:r>
        <w:rPr>
          <w:rFonts w:hint="eastAsia" w:ascii="宋体" w:hAnsi="宋体" w:eastAsia="宋体" w:cs="宋体"/>
          <w:b/>
          <w:bCs w:val="0"/>
          <w:sz w:val="28"/>
          <w:szCs w:val="28"/>
        </w:rPr>
        <w:t>废水</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firstLine="480" w:firstLineChars="200"/>
        <w:jc w:val="left"/>
        <w:textAlignment w:val="auto"/>
        <w:outlineLvl w:val="2"/>
        <w:rPr>
          <w:rFonts w:hint="eastAsia" w:ascii="宋体" w:hAnsi="宋体" w:eastAsia="宋体" w:cs="宋体"/>
          <w:bCs/>
          <w:sz w:val="28"/>
          <w:szCs w:val="28"/>
        </w:rPr>
      </w:pPr>
      <w:r>
        <w:rPr>
          <w:rFonts w:hint="eastAsia" w:ascii="宋体" w:hAnsi="宋体" w:eastAsia="宋体" w:cs="宋体"/>
          <w:bCs/>
          <w:spacing w:val="-20"/>
          <w:sz w:val="28"/>
          <w:szCs w:val="28"/>
          <w:lang w:eastAsia="zh-CN"/>
        </w:rPr>
        <w:t>项目</w:t>
      </w:r>
      <w:r>
        <w:rPr>
          <w:rFonts w:hint="eastAsia" w:ascii="宋体" w:hAnsi="宋体" w:eastAsia="宋体" w:cs="宋体"/>
          <w:bCs/>
          <w:spacing w:val="-20"/>
          <w:sz w:val="28"/>
          <w:szCs w:val="28"/>
        </w:rPr>
        <w:t>油水分离池废水出口各项指标均满足《</w:t>
      </w:r>
      <w:r>
        <w:rPr>
          <w:rFonts w:hint="eastAsia" w:ascii="宋体" w:hAnsi="宋体" w:eastAsia="宋体" w:cs="宋体"/>
          <w:bCs/>
          <w:spacing w:val="-20"/>
          <w:sz w:val="28"/>
          <w:szCs w:val="28"/>
          <w:lang w:eastAsia="zh-CN"/>
        </w:rPr>
        <w:t>污水综合</w:t>
      </w:r>
      <w:r>
        <w:rPr>
          <w:rFonts w:hint="eastAsia" w:ascii="宋体" w:hAnsi="宋体" w:eastAsia="宋体" w:cs="宋体"/>
          <w:bCs/>
          <w:spacing w:val="-20"/>
          <w:sz w:val="28"/>
          <w:szCs w:val="28"/>
        </w:rPr>
        <w:t>排放标准》</w:t>
      </w:r>
      <w:r>
        <w:rPr>
          <w:rFonts w:hint="eastAsia" w:ascii="宋体" w:hAnsi="宋体" w:eastAsia="宋体" w:cs="宋体"/>
          <w:bCs/>
          <w:sz w:val="28"/>
          <w:szCs w:val="28"/>
        </w:rPr>
        <w:t>（GB8978-1996）表4一级标准限要求。</w:t>
      </w:r>
    </w:p>
    <w:p>
      <w:pPr>
        <w:keepNext w:val="0"/>
        <w:keepLines w:val="0"/>
        <w:pageBreakBefore w:val="0"/>
        <w:widowControl/>
        <w:numPr>
          <w:ilvl w:val="0"/>
          <w:numId w:val="5"/>
        </w:numPr>
        <w:kinsoku/>
        <w:wordWrap/>
        <w:overflowPunct/>
        <w:topLinePunct w:val="0"/>
        <w:autoSpaceDE/>
        <w:autoSpaceDN/>
        <w:bidi w:val="0"/>
        <w:adjustRightInd w:val="0"/>
        <w:snapToGrid w:val="0"/>
        <w:spacing w:after="0" w:line="360" w:lineRule="auto"/>
        <w:ind w:left="0" w:leftChars="0" w:firstLine="562" w:firstLineChars="200"/>
        <w:jc w:val="left"/>
        <w:textAlignment w:val="auto"/>
        <w:outlineLvl w:val="2"/>
        <w:rPr>
          <w:rFonts w:hint="eastAsia" w:ascii="宋体" w:hAnsi="宋体" w:eastAsia="宋体" w:cs="宋体"/>
          <w:b/>
          <w:bCs w:val="0"/>
          <w:sz w:val="28"/>
          <w:szCs w:val="28"/>
        </w:rPr>
      </w:pPr>
      <w:r>
        <w:rPr>
          <w:rFonts w:hint="eastAsia" w:ascii="宋体" w:hAnsi="宋体" w:eastAsia="宋体" w:cs="宋体"/>
          <w:b/>
          <w:bCs w:val="0"/>
          <w:sz w:val="28"/>
          <w:szCs w:val="28"/>
        </w:rPr>
        <w:t>厂界噪声</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0" w:firstLine="472" w:firstLineChars="200"/>
        <w:jc w:val="left"/>
        <w:textAlignment w:val="auto"/>
        <w:outlineLvl w:val="2"/>
        <w:rPr>
          <w:rFonts w:hint="eastAsia" w:ascii="宋体" w:hAnsi="宋体" w:eastAsia="宋体" w:cs="宋体"/>
          <w:bCs/>
          <w:sz w:val="28"/>
          <w:szCs w:val="28"/>
        </w:rPr>
      </w:pPr>
      <w:r>
        <w:rPr>
          <w:rFonts w:hint="eastAsia" w:ascii="宋体" w:hAnsi="宋体" w:eastAsia="宋体" w:cs="宋体"/>
          <w:bCs/>
          <w:spacing w:val="-22"/>
          <w:sz w:val="28"/>
          <w:szCs w:val="28"/>
        </w:rPr>
        <w:t>项目周边昼间、夜间噪声值满足《工业企业厂界环境噪声排放标准》</w:t>
      </w:r>
      <w:r>
        <w:rPr>
          <w:rFonts w:hint="eastAsia" w:ascii="宋体" w:hAnsi="宋体" w:eastAsia="宋体" w:cs="宋体"/>
          <w:bCs/>
          <w:sz w:val="28"/>
          <w:szCs w:val="28"/>
        </w:rPr>
        <w:t>（GB12348-2008）2类标准限值要求。</w:t>
      </w:r>
    </w:p>
    <w:p>
      <w:pPr>
        <w:keepNext w:val="0"/>
        <w:keepLines w:val="0"/>
        <w:pageBreakBefore w:val="0"/>
        <w:widowControl/>
        <w:numPr>
          <w:ilvl w:val="0"/>
          <w:numId w:val="0"/>
        </w:numPr>
        <w:kinsoku/>
        <w:wordWrap/>
        <w:overflowPunct/>
        <w:topLinePunct w:val="0"/>
        <w:autoSpaceDE/>
        <w:autoSpaceDN/>
        <w:bidi w:val="0"/>
        <w:adjustRightInd w:val="0"/>
        <w:snapToGrid w:val="0"/>
        <w:spacing w:after="0" w:line="360" w:lineRule="auto"/>
        <w:ind w:leftChars="200" w:firstLine="281" w:firstLineChars="100"/>
        <w:jc w:val="left"/>
        <w:textAlignment w:val="auto"/>
        <w:outlineLvl w:val="2"/>
        <w:rPr>
          <w:rFonts w:ascii="宋体" w:hAnsi="宋体" w:eastAsia="宋体" w:cs="宋体"/>
          <w:b/>
          <w:sz w:val="28"/>
          <w:szCs w:val="28"/>
        </w:rPr>
      </w:pPr>
      <w:r>
        <w:rPr>
          <w:rFonts w:hint="eastAsia" w:ascii="宋体" w:hAnsi="宋体" w:eastAsia="宋体" w:cs="宋体"/>
          <w:b/>
          <w:sz w:val="28"/>
          <w:szCs w:val="28"/>
        </w:rPr>
        <w:t>（4）污染物排放总量</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0"/>
        <w:rPr>
          <w:rFonts w:hint="eastAsia" w:ascii="宋体" w:hAnsi="宋体" w:eastAsia="宋体" w:cs="宋体"/>
          <w:b/>
          <w:bCs/>
          <w:sz w:val="28"/>
          <w:szCs w:val="28"/>
        </w:rPr>
      </w:pPr>
      <w:r>
        <w:rPr>
          <w:rFonts w:hint="eastAsia" w:ascii="宋体" w:hAnsi="宋体" w:eastAsia="宋体" w:cs="宋体"/>
          <w:sz w:val="28"/>
          <w:szCs w:val="28"/>
        </w:rPr>
        <w:t>项目未设总量控制指标要求。</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0"/>
        <w:rPr>
          <w:rFonts w:ascii="宋体" w:hAnsi="宋体" w:eastAsia="宋体" w:cs="宋体"/>
          <w:b/>
          <w:bCs/>
          <w:sz w:val="28"/>
          <w:szCs w:val="28"/>
        </w:rPr>
      </w:pPr>
      <w:bookmarkStart w:id="32" w:name="_Toc18058_WPSOffice_Level2"/>
      <w:r>
        <w:rPr>
          <w:rFonts w:hint="eastAsia" w:ascii="宋体" w:hAnsi="宋体" w:eastAsia="宋体" w:cs="宋体"/>
          <w:b/>
          <w:bCs/>
          <w:sz w:val="28"/>
          <w:szCs w:val="28"/>
        </w:rPr>
        <w:t>五、工程建设对环境的影响</w:t>
      </w:r>
      <w:bookmarkEnd w:id="32"/>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0"/>
        <w:rPr>
          <w:rFonts w:hint="eastAsia" w:ascii="宋体" w:hAnsi="宋体" w:eastAsia="宋体" w:cs="宋体"/>
          <w:b/>
          <w:bCs/>
          <w:sz w:val="28"/>
          <w:szCs w:val="28"/>
        </w:rPr>
      </w:pPr>
      <w:r>
        <w:rPr>
          <w:rFonts w:hint="eastAsia" w:ascii="宋体" w:hAnsi="宋体" w:eastAsia="宋体" w:cs="宋体"/>
          <w:sz w:val="28"/>
          <w:szCs w:val="28"/>
        </w:rPr>
        <w:t>项目油水分离池废水出口</w:t>
      </w:r>
      <w:r>
        <w:rPr>
          <w:rFonts w:hint="eastAsia" w:ascii="宋体" w:hAnsi="宋体" w:eastAsia="宋体" w:cs="宋体"/>
          <w:sz w:val="28"/>
          <w:szCs w:val="28"/>
          <w:lang w:eastAsia="zh-CN"/>
        </w:rPr>
        <w:t>、</w:t>
      </w:r>
      <w:r>
        <w:rPr>
          <w:rFonts w:hint="eastAsia" w:ascii="宋体" w:hAnsi="宋体" w:eastAsia="宋体" w:cs="宋体"/>
          <w:sz w:val="28"/>
          <w:szCs w:val="28"/>
        </w:rPr>
        <w:t>有组织废气</w:t>
      </w:r>
      <w:r>
        <w:rPr>
          <w:rFonts w:hint="eastAsia" w:ascii="宋体" w:hAnsi="宋体" w:eastAsia="宋体" w:cs="宋体"/>
          <w:sz w:val="28"/>
          <w:szCs w:val="28"/>
          <w:lang w:eastAsia="zh-CN"/>
        </w:rPr>
        <w:t>（</w:t>
      </w:r>
      <w:r>
        <w:rPr>
          <w:rFonts w:hint="eastAsia" w:ascii="宋体" w:hAnsi="宋体" w:eastAsia="宋体" w:cs="宋体"/>
          <w:sz w:val="28"/>
          <w:szCs w:val="28"/>
        </w:rPr>
        <w:t>非甲烷总烃</w:t>
      </w:r>
      <w:r>
        <w:rPr>
          <w:rFonts w:hint="eastAsia" w:ascii="宋体" w:hAnsi="宋体" w:eastAsia="宋体" w:cs="宋体"/>
          <w:sz w:val="28"/>
          <w:szCs w:val="28"/>
          <w:lang w:eastAsia="zh-CN"/>
        </w:rPr>
        <w:t>）、</w:t>
      </w:r>
      <w:r>
        <w:rPr>
          <w:rFonts w:hint="eastAsia" w:ascii="宋体" w:hAnsi="宋体" w:eastAsia="宋体" w:cs="宋体"/>
          <w:sz w:val="28"/>
          <w:szCs w:val="28"/>
        </w:rPr>
        <w:t>无组织废气非甲烷总烃</w:t>
      </w:r>
      <w:r>
        <w:rPr>
          <w:rFonts w:hint="eastAsia" w:ascii="宋体" w:hAnsi="宋体" w:eastAsia="宋体" w:cs="宋体"/>
          <w:sz w:val="28"/>
          <w:szCs w:val="28"/>
          <w:lang w:eastAsia="zh-CN"/>
        </w:rPr>
        <w:t>、</w:t>
      </w:r>
      <w:r>
        <w:rPr>
          <w:rFonts w:hint="eastAsia" w:ascii="宋体" w:hAnsi="宋体" w:eastAsia="宋体" w:cs="宋体"/>
          <w:sz w:val="28"/>
          <w:szCs w:val="28"/>
        </w:rPr>
        <w:t>边</w:t>
      </w:r>
      <w:r>
        <w:rPr>
          <w:rFonts w:hint="eastAsia" w:ascii="宋体" w:hAnsi="宋体" w:eastAsia="宋体" w:cs="宋体"/>
          <w:sz w:val="28"/>
          <w:szCs w:val="28"/>
          <w:lang w:eastAsia="zh-CN"/>
        </w:rPr>
        <w:t>界</w:t>
      </w:r>
      <w:r>
        <w:rPr>
          <w:rFonts w:hint="eastAsia" w:ascii="宋体" w:hAnsi="宋体" w:eastAsia="宋体" w:cs="宋体"/>
          <w:sz w:val="28"/>
          <w:szCs w:val="28"/>
        </w:rPr>
        <w:t>昼间、夜间噪声值等均满足相应排放标准限值要求</w:t>
      </w:r>
      <w:r>
        <w:rPr>
          <w:rFonts w:hint="eastAsia" w:ascii="宋体" w:hAnsi="宋体" w:eastAsia="宋体" w:cs="宋体"/>
          <w:sz w:val="28"/>
          <w:szCs w:val="28"/>
          <w:lang w:eastAsia="zh-CN"/>
        </w:rPr>
        <w:t>。</w:t>
      </w:r>
      <w:r>
        <w:rPr>
          <w:rFonts w:hint="eastAsia" w:ascii="宋体" w:hAnsi="宋体" w:eastAsia="宋体" w:cs="宋体"/>
          <w:sz w:val="28"/>
          <w:szCs w:val="28"/>
        </w:rPr>
        <w:t>本项目建设对周边环境影响较小。</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0"/>
        <w:rPr>
          <w:rFonts w:ascii="宋体" w:hAnsi="宋体" w:eastAsia="宋体" w:cs="宋体"/>
          <w:b/>
          <w:bCs/>
          <w:sz w:val="28"/>
          <w:szCs w:val="28"/>
        </w:rPr>
      </w:pPr>
      <w:bookmarkStart w:id="33" w:name="_Toc20594_WPSOffice_Level2"/>
      <w:r>
        <w:rPr>
          <w:rFonts w:hint="eastAsia" w:ascii="宋体" w:hAnsi="宋体" w:eastAsia="宋体" w:cs="宋体"/>
          <w:b/>
          <w:bCs/>
          <w:sz w:val="28"/>
          <w:szCs w:val="28"/>
        </w:rPr>
        <w:t>六、验收结论</w:t>
      </w:r>
      <w:bookmarkEnd w:id="33"/>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rPr>
          <w:rFonts w:ascii="宋体" w:hAnsi="宋体" w:eastAsia="宋体" w:cs="宋体"/>
          <w:color w:val="000000" w:themeColor="text1"/>
          <w:sz w:val="28"/>
          <w:szCs w:val="28"/>
          <w14:textFill>
            <w14:solidFill>
              <w14:schemeClr w14:val="tx1"/>
            </w14:solidFill>
          </w14:textFill>
        </w:rPr>
      </w:pPr>
      <w:r>
        <w:rPr>
          <w:rFonts w:hint="eastAsia" w:ascii="宋体" w:hAnsi="宋体" w:eastAsia="宋体" w:cs="宋体"/>
          <w:sz w:val="28"/>
          <w:szCs w:val="28"/>
        </w:rPr>
        <w:t>中国石化销售有限公司贵州黔西南石油分公司晴隆油库建设项目</w:t>
      </w:r>
      <w:r>
        <w:rPr>
          <w:rFonts w:hint="eastAsia" w:ascii="宋体" w:hAnsi="宋体" w:eastAsia="宋体" w:cs="宋体"/>
          <w:spacing w:val="8"/>
          <w:sz w:val="28"/>
          <w:szCs w:val="28"/>
        </w:rPr>
        <w:t>按照环境影响报</w:t>
      </w:r>
      <w:r>
        <w:rPr>
          <w:rFonts w:hint="eastAsia" w:ascii="宋体" w:hAnsi="宋体" w:eastAsia="宋体" w:cs="宋体"/>
          <w:sz w:val="28"/>
          <w:szCs w:val="28"/>
        </w:rPr>
        <w:t>告表及批复的要求，环保措施落实情况较好。项目采取有效的环境保护措施，污染物达标排放，对周边环境质量影响较小。根据本项目竣工环境保护验收监测结果，</w:t>
      </w:r>
      <w:r>
        <w:rPr>
          <w:rFonts w:hint="eastAsia" w:ascii="宋体" w:hAnsi="宋体" w:eastAsia="宋体" w:cs="宋体"/>
          <w:color w:val="000000" w:themeColor="text1"/>
          <w:kern w:val="0"/>
          <w:sz w:val="28"/>
          <w:szCs w:val="28"/>
          <w14:textFill>
            <w14:solidFill>
              <w14:schemeClr w14:val="tx1"/>
            </w14:solidFill>
          </w14:textFill>
        </w:rPr>
        <w:t>按照《建设项目竣工环境保护验收暂行办法》中规定的验收不合格情形对项目逐一对照核查，</w:t>
      </w:r>
      <w:r>
        <w:rPr>
          <w:rFonts w:hint="eastAsia" w:ascii="宋体" w:hAnsi="宋体" w:eastAsia="宋体" w:cs="宋体"/>
          <w:color w:val="000000" w:themeColor="text1"/>
          <w:sz w:val="28"/>
          <w:szCs w:val="28"/>
          <w14:textFill>
            <w14:solidFill>
              <w14:schemeClr w14:val="tx1"/>
            </w14:solidFill>
          </w14:textFill>
        </w:rPr>
        <w:t>达到了建设项目竣工环境保护验收的条件，符合验收要求。验收组认为，本建设项目</w:t>
      </w:r>
      <w:r>
        <w:rPr>
          <w:rFonts w:hint="eastAsia" w:ascii="宋体" w:hAnsi="宋体" w:eastAsia="宋体" w:cs="宋体"/>
          <w:color w:val="000000" w:themeColor="text1"/>
          <w:kern w:val="0"/>
          <w:sz w:val="28"/>
          <w:szCs w:val="28"/>
          <w14:textFill>
            <w14:solidFill>
              <w14:schemeClr w14:val="tx1"/>
            </w14:solidFill>
          </w14:textFill>
        </w:rPr>
        <w:t>竣工环境保护验收合格。</w:t>
      </w:r>
    </w:p>
    <w:p>
      <w:pPr>
        <w:keepNext w:val="0"/>
        <w:keepLines w:val="0"/>
        <w:pageBreakBefore w:val="0"/>
        <w:widowControl/>
        <w:kinsoku/>
        <w:wordWrap/>
        <w:overflowPunct/>
        <w:topLinePunct w:val="0"/>
        <w:autoSpaceDE/>
        <w:autoSpaceDN/>
        <w:bidi w:val="0"/>
        <w:adjustRightInd w:val="0"/>
        <w:snapToGrid w:val="0"/>
        <w:spacing w:after="0" w:line="360" w:lineRule="auto"/>
        <w:ind w:firstLine="562" w:firstLineChars="200"/>
        <w:jc w:val="left"/>
        <w:textAlignment w:val="auto"/>
        <w:outlineLvl w:val="0"/>
        <w:rPr>
          <w:rFonts w:ascii="宋体" w:hAnsi="宋体" w:eastAsia="宋体" w:cs="宋体"/>
          <w:b/>
          <w:bCs/>
          <w:sz w:val="28"/>
          <w:szCs w:val="28"/>
        </w:rPr>
      </w:pPr>
      <w:bookmarkStart w:id="34" w:name="_Toc21669_WPSOffice_Level2"/>
      <w:r>
        <w:rPr>
          <w:rFonts w:hint="eastAsia" w:ascii="宋体" w:hAnsi="宋体" w:eastAsia="宋体" w:cs="宋体"/>
          <w:b/>
          <w:sz w:val="28"/>
          <w:szCs w:val="28"/>
        </w:rPr>
        <w:t>七、后续要求</w:t>
      </w:r>
      <w:bookmarkEnd w:id="34"/>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0"/>
        <w:rPr>
          <w:rFonts w:hint="eastAsia" w:ascii="宋体" w:hAnsi="宋体" w:eastAsia="宋体" w:cs="宋体"/>
          <w:color w:val="auto"/>
          <w:sz w:val="28"/>
          <w:szCs w:val="28"/>
        </w:rPr>
      </w:pPr>
      <w:r>
        <w:rPr>
          <w:rFonts w:hint="eastAsia" w:ascii="宋体" w:hAnsi="宋体" w:eastAsia="宋体" w:cs="宋体"/>
          <w:color w:val="auto"/>
          <w:sz w:val="28"/>
          <w:szCs w:val="28"/>
        </w:rPr>
        <w:t>1、完善环境保护规章制度，明确专人</w:t>
      </w:r>
      <w:r>
        <w:rPr>
          <w:rFonts w:hint="eastAsia" w:ascii="宋体" w:hAnsi="宋体" w:eastAsia="宋体" w:cs="宋体"/>
          <w:color w:val="auto"/>
          <w:sz w:val="28"/>
          <w:szCs w:val="28"/>
          <w:lang w:eastAsia="zh-CN"/>
        </w:rPr>
        <w:t>或兼职人员</w:t>
      </w:r>
      <w:r>
        <w:rPr>
          <w:rFonts w:hint="eastAsia" w:ascii="宋体" w:hAnsi="宋体" w:eastAsia="宋体" w:cs="宋体"/>
          <w:color w:val="auto"/>
          <w:sz w:val="28"/>
          <w:szCs w:val="28"/>
        </w:rPr>
        <w:t>负责环境保护方面工作。</w:t>
      </w:r>
    </w:p>
    <w:p>
      <w:pPr>
        <w:keepNext w:val="0"/>
        <w:keepLines w:val="0"/>
        <w:pageBreakBefore w:val="0"/>
        <w:widowControl/>
        <w:kinsoku/>
        <w:wordWrap/>
        <w:overflowPunct/>
        <w:topLinePunct w:val="0"/>
        <w:autoSpaceDE/>
        <w:autoSpaceDN/>
        <w:bidi w:val="0"/>
        <w:adjustRightInd w:val="0"/>
        <w:snapToGrid w:val="0"/>
        <w:spacing w:after="0" w:line="360" w:lineRule="auto"/>
        <w:ind w:firstLine="560" w:firstLineChars="200"/>
        <w:jc w:val="left"/>
        <w:textAlignment w:val="auto"/>
        <w:outlineLvl w:val="0"/>
        <w:rPr>
          <w:rFonts w:hint="eastAsia" w:ascii="宋体" w:hAnsi="宋体" w:eastAsia="宋体" w:cs="宋体"/>
          <w:b/>
          <w:sz w:val="28"/>
          <w:szCs w:val="28"/>
        </w:rPr>
      </w:pPr>
      <w:r>
        <w:rPr>
          <w:rFonts w:hint="eastAsia" w:ascii="宋体" w:hAnsi="宋体" w:eastAsia="宋体" w:cs="宋体"/>
          <w:color w:val="auto"/>
          <w:sz w:val="28"/>
          <w:szCs w:val="28"/>
        </w:rPr>
        <w:t>2、</w:t>
      </w:r>
      <w:r>
        <w:rPr>
          <w:rFonts w:hint="eastAsia" w:ascii="宋体" w:hAnsi="宋体" w:eastAsia="宋体" w:cs="宋体"/>
          <w:color w:val="auto"/>
          <w:sz w:val="28"/>
          <w:szCs w:val="28"/>
          <w:lang w:eastAsia="zh-CN"/>
        </w:rPr>
        <w:t>尽快建设完成危险废物暂存间，并做好防渗处理</w:t>
      </w:r>
      <w:r>
        <w:rPr>
          <w:rFonts w:hint="eastAsia" w:ascii="宋体" w:hAnsi="宋体" w:eastAsia="宋体" w:cs="宋体"/>
          <w:color w:val="auto"/>
          <w:sz w:val="28"/>
          <w:szCs w:val="28"/>
        </w:rPr>
        <w:t>。</w:t>
      </w: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bookmarkStart w:id="35" w:name="_Toc32761_WPSOffice_Level2"/>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482" w:firstLineChars="200"/>
        <w:jc w:val="left"/>
        <w:textAlignment w:val="auto"/>
        <w:outlineLvl w:val="0"/>
        <w:rPr>
          <w:rFonts w:hint="eastAsia" w:ascii="宋体" w:hAnsi="宋体" w:eastAsia="宋体" w:cs="宋体"/>
          <w:b/>
          <w:sz w:val="24"/>
          <w:szCs w:val="24"/>
        </w:rPr>
      </w:pPr>
    </w:p>
    <w:p>
      <w:pPr>
        <w:keepNext w:val="0"/>
        <w:keepLines w:val="0"/>
        <w:pageBreakBefore w:val="0"/>
        <w:widowControl/>
        <w:kinsoku/>
        <w:wordWrap/>
        <w:overflowPunct/>
        <w:topLinePunct w:val="0"/>
        <w:autoSpaceDE/>
        <w:autoSpaceDN/>
        <w:bidi w:val="0"/>
        <w:adjustRightInd w:val="0"/>
        <w:snapToGrid w:val="0"/>
        <w:spacing w:before="156" w:beforeLines="50" w:after="0" w:line="360" w:lineRule="auto"/>
        <w:ind w:firstLine="562" w:firstLineChars="200"/>
        <w:jc w:val="left"/>
        <w:textAlignment w:val="auto"/>
        <w:outlineLvl w:val="0"/>
        <w:rPr>
          <w:rFonts w:ascii="宋体" w:hAnsi="宋体" w:eastAsia="宋体" w:cs="宋体"/>
          <w:b/>
          <w:sz w:val="28"/>
          <w:szCs w:val="28"/>
        </w:rPr>
      </w:pPr>
      <w:r>
        <w:rPr>
          <w:rFonts w:hint="eastAsia" w:ascii="宋体" w:hAnsi="宋体" w:eastAsia="宋体" w:cs="宋体"/>
          <w:b/>
          <w:sz w:val="28"/>
          <w:szCs w:val="28"/>
        </w:rPr>
        <w:t>八、验收组人员信息</w:t>
      </w:r>
      <w:bookmarkEnd w:id="35"/>
    </w:p>
    <w:tbl>
      <w:tblPr>
        <w:tblStyle w:val="19"/>
        <w:tblW w:w="8521" w:type="dxa"/>
        <w:jc w:val="center"/>
        <w:tblInd w:w="1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2138"/>
        <w:gridCol w:w="1365"/>
        <w:gridCol w:w="1605"/>
        <w:gridCol w:w="1173"/>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6" w:hRule="exact"/>
          <w:jc w:val="center"/>
        </w:trPr>
        <w:tc>
          <w:tcPr>
            <w:tcW w:w="946"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姓 名</w:t>
            </w:r>
          </w:p>
        </w:tc>
        <w:tc>
          <w:tcPr>
            <w:tcW w:w="2138"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单   位</w:t>
            </w:r>
          </w:p>
        </w:tc>
        <w:tc>
          <w:tcPr>
            <w:tcW w:w="136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职务/职称</w:t>
            </w: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pacing w:val="-20"/>
                <w:sz w:val="24"/>
                <w:szCs w:val="24"/>
              </w:rPr>
            </w:pPr>
            <w:r>
              <w:rPr>
                <w:rFonts w:hint="eastAsia" w:ascii="宋体" w:hAnsi="宋体" w:eastAsia="宋体" w:cs="宋体"/>
                <w:spacing w:val="-20"/>
                <w:sz w:val="24"/>
                <w:szCs w:val="24"/>
              </w:rPr>
              <w:t>联系电话/</w:t>
            </w:r>
            <w:r>
              <w:rPr>
                <w:rFonts w:hint="eastAsia" w:ascii="宋体" w:hAnsi="宋体" w:eastAsia="宋体" w:cs="宋体"/>
                <w:color w:val="000000"/>
                <w:spacing w:val="-20"/>
                <w:kern w:val="0"/>
                <w:sz w:val="24"/>
                <w:szCs w:val="24"/>
              </w:rPr>
              <w:t>身份证号码</w:t>
            </w:r>
          </w:p>
        </w:tc>
        <w:tc>
          <w:tcPr>
            <w:tcW w:w="1173"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签 名</w:t>
            </w:r>
          </w:p>
        </w:tc>
        <w:tc>
          <w:tcPr>
            <w:tcW w:w="1294" w:type="dxa"/>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5" w:hRule="exact"/>
          <w:jc w:val="center"/>
        </w:trPr>
        <w:tc>
          <w:tcPr>
            <w:tcW w:w="946" w:type="dxa"/>
            <w:vMerge w:val="restart"/>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景玉林</w:t>
            </w:r>
          </w:p>
        </w:tc>
        <w:tc>
          <w:tcPr>
            <w:tcW w:w="2138"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中国石化销售有限公司贵州黔西南石油分公司</w:t>
            </w:r>
          </w:p>
        </w:tc>
        <w:tc>
          <w:tcPr>
            <w:tcW w:w="1365" w:type="dxa"/>
            <w:vMerge w:val="restart"/>
            <w:vAlign w:val="center"/>
          </w:tcPr>
          <w:p>
            <w:pPr>
              <w:keepNext w:val="0"/>
              <w:keepLines w:val="0"/>
              <w:pageBreakBefore w:val="0"/>
              <w:widowControl w:val="0"/>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sz w:val="24"/>
                <w:szCs w:val="24"/>
                <w:lang w:eastAsia="zh-CN"/>
              </w:rPr>
            </w:pPr>
          </w:p>
        </w:tc>
        <w:tc>
          <w:tcPr>
            <w:tcW w:w="1605" w:type="dxa"/>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13668594905</w:t>
            </w:r>
          </w:p>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lang w:val="en-US" w:eastAsia="zh-CN"/>
              </w:rPr>
            </w:pP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建设单位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4" w:hRule="exac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snapToGrid/>
              <w:spacing w:after="0" w:line="240" w:lineRule="atLeast"/>
              <w:jc w:val="center"/>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522321198504174636</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bidi w:val="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atLeas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陈秋蓉</w:t>
            </w:r>
          </w:p>
        </w:tc>
        <w:tc>
          <w:tcPr>
            <w:tcW w:w="2138"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贵州绿宏环保科技有限公司</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lang w:eastAsia="zh-CN"/>
              </w:rPr>
            </w:pPr>
          </w:p>
        </w:tc>
        <w:tc>
          <w:tcPr>
            <w:tcW w:w="1605" w:type="dxa"/>
            <w:vAlign w:val="center"/>
          </w:tcPr>
          <w:p>
            <w:pPr>
              <w:keepNext w:val="0"/>
              <w:keepLines w:val="0"/>
              <w:pageBreakBefore w:val="0"/>
              <w:widowControl w:val="0"/>
              <w:kinsoku/>
              <w:wordWrap/>
              <w:overflowPunct/>
              <w:topLinePunct w:val="0"/>
              <w:autoSpaceDE/>
              <w:autoSpaceDN/>
              <w:bidi w:val="0"/>
              <w:snapToGrid/>
              <w:spacing w:after="0" w:line="240" w:lineRule="atLeast"/>
              <w:ind w:firstLine="0" w:firstLineChars="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18085977775</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环评单位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snapToGrid/>
              <w:spacing w:after="0" w:line="240" w:lineRule="atLeast"/>
              <w:ind w:firstLine="0" w:firstLineChars="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522321198607281629</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bidi w:val="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snapToGrid/>
              <w:spacing w:after="0" w:line="240" w:lineRule="atLeast"/>
              <w:ind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柴福奇</w:t>
            </w:r>
          </w:p>
        </w:tc>
        <w:tc>
          <w:tcPr>
            <w:tcW w:w="2138"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青岛海晏环境技术工程有限公司</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snapToGrid/>
              <w:spacing w:after="0" w:line="240" w:lineRule="atLeast"/>
              <w:ind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13808998536</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环保设施</w:t>
            </w:r>
          </w:p>
          <w:p>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设计单位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5" w:hRule="atLeas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snapToGrid/>
              <w:spacing w:after="0" w:line="240" w:lineRule="atLeast"/>
              <w:ind w:firstLine="0" w:firstLineChars="0"/>
              <w:jc w:val="center"/>
              <w:textAlignment w:val="auto"/>
              <w:outlineLvl w:val="9"/>
              <w:rPr>
                <w:rFonts w:hint="eastAsia" w:ascii="宋体" w:hAnsi="宋体" w:eastAsia="宋体" w:cs="宋体"/>
                <w:sz w:val="24"/>
                <w:szCs w:val="24"/>
              </w:rPr>
            </w:pPr>
            <w:r>
              <w:rPr>
                <w:rFonts w:hint="eastAsia" w:ascii="宋体" w:hAnsi="宋体" w:eastAsia="宋体" w:cs="宋体"/>
                <w:sz w:val="24"/>
                <w:szCs w:val="24"/>
              </w:rPr>
              <w:t xml:space="preserve">372523196606147432 </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bidi w:val="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946" w:type="dxa"/>
            <w:vMerge w:val="restart"/>
            <w:vAlign w:val="center"/>
          </w:tcPr>
          <w:p>
            <w:pPr>
              <w:pStyle w:val="20"/>
              <w:keepNext w:val="0"/>
              <w:keepLines w:val="0"/>
              <w:pageBreakBefore w:val="0"/>
              <w:widowControl w:val="0"/>
              <w:kinsoku/>
              <w:wordWrap/>
              <w:overflowPunct/>
              <w:topLinePunct w:val="0"/>
              <w:autoSpaceDE/>
              <w:autoSpaceDN/>
              <w:bidi w:val="0"/>
              <w:adjustRightInd w:val="0"/>
              <w:snapToGrid/>
              <w:spacing w:after="0" w:line="240" w:lineRule="atLeast"/>
              <w:ind w:left="0" w:leftChars="0" w:firstLine="0" w:firstLineChars="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文德海</w:t>
            </w:r>
          </w:p>
        </w:tc>
        <w:tc>
          <w:tcPr>
            <w:tcW w:w="2138"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四川省城市建设工程监理有限公司</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pacing w:val="-20"/>
                <w:sz w:val="24"/>
                <w:szCs w:val="24"/>
                <w:lang w:eastAsia="zh-CN"/>
              </w:rPr>
            </w:pPr>
          </w:p>
        </w:tc>
        <w:tc>
          <w:tcPr>
            <w:tcW w:w="1605" w:type="dxa"/>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15085547602</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监理单位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6" w:hRule="atLeas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sz w:val="24"/>
                <w:szCs w:val="24"/>
              </w:rPr>
            </w:pPr>
          </w:p>
        </w:tc>
        <w:tc>
          <w:tcPr>
            <w:tcW w:w="1605" w:type="dxa"/>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cs="Times New Roman" w:asciiTheme="minorEastAsia" w:hAnsiTheme="minorEastAsia" w:eastAsiaTheme="minorEastAsia"/>
                <w:sz w:val="24"/>
                <w:szCs w:val="24"/>
                <w:lang w:val="en-US" w:eastAsia="zh-CN"/>
              </w:rPr>
            </w:pPr>
            <w:r>
              <w:rPr>
                <w:rFonts w:hint="eastAsia" w:cs="Times New Roman" w:asciiTheme="minorEastAsia" w:hAnsiTheme="minorEastAsia" w:eastAsiaTheme="minorEastAsia"/>
                <w:sz w:val="24"/>
                <w:szCs w:val="24"/>
                <w:lang w:val="en-US" w:eastAsia="zh-CN"/>
              </w:rPr>
              <w:t xml:space="preserve">522121196802055651    </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cs="Times New Roman" w:asciiTheme="minorEastAsia" w:hAnsiTheme="minorEastAsia"/>
                <w:sz w:val="24"/>
                <w:szCs w:val="24"/>
              </w:rPr>
            </w:pPr>
          </w:p>
        </w:tc>
        <w:tc>
          <w:tcPr>
            <w:tcW w:w="129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cs="Times New Roman" w:asciiTheme="minorEastAsia" w:hAnsi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2" w:hRule="exac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龚振江</w:t>
            </w:r>
          </w:p>
        </w:tc>
        <w:tc>
          <w:tcPr>
            <w:tcW w:w="2138" w:type="dxa"/>
            <w:vMerge w:val="restart"/>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黔西南州</w:t>
            </w:r>
          </w:p>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环境监测站</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pacing w:val="-20"/>
                <w:sz w:val="24"/>
                <w:szCs w:val="24"/>
              </w:rPr>
              <w:t>高级工程师</w:t>
            </w: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13985953683</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r>
              <w:rPr>
                <w:rFonts w:hint="eastAsia" w:ascii="宋体" w:hAnsi="宋体" w:eastAsia="宋体" w:cs="宋体"/>
                <w:sz w:val="24"/>
                <w:szCs w:val="24"/>
              </w:rPr>
              <w:t>专家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3" w:hRule="exac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52232119580506041X</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7" w:hRule="exac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曹环礼</w:t>
            </w:r>
          </w:p>
        </w:tc>
        <w:tc>
          <w:tcPr>
            <w:tcW w:w="2138" w:type="dxa"/>
            <w:vMerge w:val="restart"/>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黔西南州</w:t>
            </w:r>
          </w:p>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环境监测站</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pacing w:val="-20"/>
                <w:sz w:val="24"/>
                <w:szCs w:val="24"/>
              </w:rPr>
              <w:t>高级工程师</w:t>
            </w: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13985998682</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r>
              <w:rPr>
                <w:rFonts w:hint="eastAsia" w:ascii="宋体" w:hAnsi="宋体" w:eastAsia="宋体" w:cs="宋体"/>
                <w:sz w:val="24"/>
                <w:szCs w:val="24"/>
              </w:rPr>
              <w:t>专家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3" w:hRule="exact"/>
          <w:jc w:val="center"/>
        </w:trPr>
        <w:tc>
          <w:tcPr>
            <w:tcW w:w="946" w:type="dxa"/>
            <w:vMerge w:val="continue"/>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522321195408200415</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4" w:hRule="exac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刘国华</w:t>
            </w:r>
          </w:p>
        </w:tc>
        <w:tc>
          <w:tcPr>
            <w:tcW w:w="2138" w:type="dxa"/>
            <w:vMerge w:val="restart"/>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黔西南州</w:t>
            </w:r>
          </w:p>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环境监测站</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pacing w:val="-20"/>
                <w:sz w:val="24"/>
                <w:szCs w:val="24"/>
              </w:rPr>
              <w:t>高级工程师</w:t>
            </w: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13985960958</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r>
              <w:rPr>
                <w:rFonts w:hint="eastAsia" w:ascii="宋体" w:hAnsi="宋体" w:eastAsia="宋体" w:cs="宋体"/>
                <w:sz w:val="24"/>
                <w:szCs w:val="24"/>
              </w:rPr>
              <w:t>专家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8" w:hRule="exact"/>
          <w:jc w:val="center"/>
        </w:trPr>
        <w:tc>
          <w:tcPr>
            <w:tcW w:w="946" w:type="dxa"/>
            <w:vMerge w:val="continue"/>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adjustRightInd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after="0"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rPr>
            </w:pPr>
            <w:r>
              <w:rPr>
                <w:rFonts w:hint="eastAsia" w:ascii="宋体" w:hAnsi="宋体" w:eastAsia="宋体" w:cs="宋体"/>
                <w:sz w:val="24"/>
                <w:szCs w:val="24"/>
              </w:rPr>
              <w:t>522321196311040464</w:t>
            </w:r>
          </w:p>
        </w:tc>
        <w:tc>
          <w:tcPr>
            <w:tcW w:w="1173"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8" w:hRule="exact"/>
          <w:jc w:val="center"/>
        </w:trPr>
        <w:tc>
          <w:tcPr>
            <w:tcW w:w="946"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周国龙</w:t>
            </w:r>
          </w:p>
        </w:tc>
        <w:tc>
          <w:tcPr>
            <w:tcW w:w="2138" w:type="dxa"/>
            <w:vMerge w:val="restart"/>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贵州省</w:t>
            </w:r>
            <w:r>
              <w:rPr>
                <w:rFonts w:hint="eastAsia" w:ascii="宋体" w:hAnsi="宋体" w:eastAsia="宋体" w:cs="宋体"/>
                <w:sz w:val="24"/>
                <w:szCs w:val="24"/>
                <w:lang w:eastAsia="zh-CN"/>
              </w:rPr>
              <w:t>洪鑫</w:t>
            </w:r>
            <w:r>
              <w:rPr>
                <w:rFonts w:hint="eastAsia" w:ascii="宋体" w:hAnsi="宋体" w:eastAsia="宋体" w:cs="宋体"/>
                <w:sz w:val="24"/>
                <w:szCs w:val="24"/>
              </w:rPr>
              <w:t>环境检测服务有限公司</w:t>
            </w:r>
          </w:p>
        </w:tc>
        <w:tc>
          <w:tcPr>
            <w:tcW w:w="1365" w:type="dxa"/>
            <w:vMerge w:val="restart"/>
            <w:vAlign w:val="center"/>
          </w:tcPr>
          <w:p>
            <w:pPr>
              <w:keepNext w:val="0"/>
              <w:keepLines w:val="0"/>
              <w:pageBreakBefore w:val="0"/>
              <w:widowControl w:val="0"/>
              <w:kinsoku/>
              <w:wordWrap/>
              <w:overflowPunct/>
              <w:topLinePunct w:val="0"/>
              <w:autoSpaceDE/>
              <w:autoSpaceDN/>
              <w:bidi w:val="0"/>
              <w:snapToGrid/>
              <w:spacing w:after="0" w:line="240" w:lineRule="atLeast"/>
              <w:ind w:firstLine="0" w:firstLineChars="0"/>
              <w:jc w:val="center"/>
              <w:textAlignment w:val="auto"/>
              <w:rPr>
                <w:rFonts w:hint="eastAsia" w:ascii="宋体" w:hAnsi="宋体" w:eastAsia="宋体" w:cs="宋体"/>
                <w:sz w:val="24"/>
                <w:szCs w:val="24"/>
              </w:rPr>
            </w:pPr>
            <w:r>
              <w:rPr>
                <w:rFonts w:hint="eastAsia" w:ascii="宋体" w:hAnsi="宋体" w:eastAsia="宋体" w:cs="宋体"/>
                <w:sz w:val="24"/>
                <w:szCs w:val="24"/>
              </w:rPr>
              <w:t>技术员</w:t>
            </w: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18224953451</w:t>
            </w:r>
          </w:p>
        </w:tc>
        <w:tc>
          <w:tcPr>
            <w:tcW w:w="117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c>
          <w:tcPr>
            <w:tcW w:w="1294"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r>
              <w:rPr>
                <w:rFonts w:hint="eastAsia" w:ascii="宋体" w:hAnsi="宋体" w:eastAsia="宋体" w:cs="宋体"/>
                <w:sz w:val="24"/>
                <w:szCs w:val="24"/>
              </w:rPr>
              <w:t>监测单位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8" w:hRule="exact"/>
          <w:jc w:val="center"/>
        </w:trPr>
        <w:tc>
          <w:tcPr>
            <w:tcW w:w="946"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2138"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1365" w:type="dxa"/>
            <w:vMerge w:val="continue"/>
            <w:vAlign w:val="center"/>
          </w:tcPr>
          <w:p>
            <w:pPr>
              <w:keepNext w:val="0"/>
              <w:keepLines w:val="0"/>
              <w:pageBreakBefore w:val="0"/>
              <w:widowControl w:val="0"/>
              <w:kinsoku/>
              <w:wordWrap/>
              <w:overflowPunct/>
              <w:topLinePunct w:val="0"/>
              <w:autoSpaceDE/>
              <w:autoSpaceDN/>
              <w:bidi w:val="0"/>
              <w:snapToGrid/>
              <w:spacing w:line="240" w:lineRule="atLeast"/>
              <w:jc w:val="center"/>
              <w:textAlignment w:val="auto"/>
              <w:rPr>
                <w:rFonts w:hint="eastAsia" w:ascii="宋体" w:hAnsi="宋体" w:eastAsia="宋体" w:cs="宋体"/>
                <w:sz w:val="24"/>
                <w:szCs w:val="24"/>
              </w:rPr>
            </w:pPr>
          </w:p>
        </w:tc>
        <w:tc>
          <w:tcPr>
            <w:tcW w:w="1605" w:type="dxa"/>
            <w:vAlign w:val="center"/>
          </w:tcPr>
          <w:p>
            <w:pPr>
              <w:keepNext w:val="0"/>
              <w:keepLines w:val="0"/>
              <w:pageBreakBefore w:val="0"/>
              <w:widowControl w:val="0"/>
              <w:kinsoku/>
              <w:wordWrap/>
              <w:overflowPunct/>
              <w:topLinePunct w:val="0"/>
              <w:autoSpaceDE/>
              <w:autoSpaceDN/>
              <w:bidi w:val="0"/>
              <w:adjustRightInd w:val="0"/>
              <w:snapToGrid/>
              <w:spacing w:after="0" w:line="240" w:lineRule="atLeas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522321198712194017</w:t>
            </w:r>
          </w:p>
        </w:tc>
        <w:tc>
          <w:tcPr>
            <w:tcW w:w="1173" w:type="dxa"/>
            <w:vMerge w:val="continue"/>
            <w:vAlign w:val="center"/>
          </w:tcPr>
          <w:p>
            <w:pPr>
              <w:keepNext w:val="0"/>
              <w:keepLines w:val="0"/>
              <w:pageBreakBefore w:val="0"/>
              <w:widowControl w:val="0"/>
              <w:kinsoku/>
              <w:wordWrap/>
              <w:overflowPunct/>
              <w:topLinePunct w:val="0"/>
              <w:bidi w:val="0"/>
              <w:jc w:val="center"/>
              <w:textAlignment w:val="auto"/>
              <w:rPr>
                <w:rFonts w:hint="eastAsia" w:ascii="宋体" w:hAnsi="宋体" w:eastAsia="宋体" w:cs="宋体"/>
                <w:sz w:val="24"/>
                <w:szCs w:val="24"/>
              </w:rPr>
            </w:pPr>
          </w:p>
        </w:tc>
        <w:tc>
          <w:tcPr>
            <w:tcW w:w="1294"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after="0"/>
              <w:jc w:val="center"/>
              <w:textAlignment w:val="auto"/>
              <w:rPr>
                <w:rFonts w:hint="eastAsia" w:ascii="宋体" w:hAnsi="宋体" w:eastAsia="宋体" w:cs="宋体"/>
                <w:sz w:val="24"/>
                <w:szCs w:val="24"/>
              </w:rPr>
            </w:pPr>
          </w:p>
        </w:tc>
      </w:tr>
    </w:tbl>
    <w:p>
      <w:pPr>
        <w:keepNext w:val="0"/>
        <w:keepLines w:val="0"/>
        <w:pageBreakBefore w:val="0"/>
        <w:widowControl w:val="0"/>
        <w:kinsoku/>
        <w:wordWrap/>
        <w:overflowPunct/>
        <w:topLinePunct w:val="0"/>
        <w:autoSpaceDE/>
        <w:autoSpaceDN/>
        <w:bidi w:val="0"/>
        <w:adjustRightInd/>
        <w:snapToGrid w:val="0"/>
        <w:spacing w:before="156" w:beforeLines="50" w:after="0" w:line="520" w:lineRule="exact"/>
        <w:jc w:val="left"/>
        <w:textAlignment w:val="auto"/>
        <w:outlineLvl w:val="9"/>
        <w:rPr>
          <w:rFonts w:hint="eastAsia" w:ascii="宋体" w:hAnsi="宋体" w:eastAsia="宋体" w:cs="宋体"/>
          <w:color w:val="000000"/>
          <w:kern w:val="0"/>
          <w:sz w:val="24"/>
          <w:szCs w:val="24"/>
          <w:lang w:eastAsia="zh-CN"/>
        </w:rPr>
      </w:pPr>
      <w:bookmarkStart w:id="36" w:name="_Toc15652_WPSOffice_Level2"/>
      <w:r>
        <w:rPr>
          <w:rFonts w:hint="eastAsia" w:ascii="宋体" w:hAnsi="宋体" w:eastAsia="宋体" w:cs="宋体"/>
          <w:b/>
          <w:sz w:val="24"/>
          <w:szCs w:val="24"/>
        </w:rPr>
        <w:t>备注</w:t>
      </w:r>
      <w:r>
        <w:rPr>
          <w:rFonts w:hint="eastAsia" w:ascii="宋体" w:hAnsi="宋体" w:eastAsia="宋体" w:cs="宋体"/>
          <w:b/>
          <w:sz w:val="24"/>
          <w:szCs w:val="24"/>
          <w:lang w:eastAsia="zh-CN"/>
        </w:rPr>
        <w:t>：</w:t>
      </w:r>
      <w:r>
        <w:rPr>
          <w:rFonts w:hint="eastAsia" w:ascii="宋体" w:hAnsi="宋体" w:eastAsia="宋体" w:cs="宋体"/>
          <w:b w:val="0"/>
          <w:bCs/>
          <w:sz w:val="24"/>
          <w:szCs w:val="24"/>
          <w:lang w:val="en-US" w:eastAsia="zh-CN"/>
        </w:rPr>
        <w:t>1、</w:t>
      </w:r>
      <w:r>
        <w:rPr>
          <w:rFonts w:hint="eastAsia" w:ascii="宋体" w:hAnsi="宋体" w:eastAsia="宋体" w:cs="宋体"/>
          <w:sz w:val="24"/>
          <w:szCs w:val="24"/>
        </w:rPr>
        <w:t>第一行填写</w:t>
      </w:r>
      <w:r>
        <w:rPr>
          <w:rFonts w:hint="eastAsia" w:ascii="宋体" w:hAnsi="宋体" w:eastAsia="宋体" w:cs="宋体"/>
          <w:color w:val="000000"/>
          <w:kern w:val="0"/>
          <w:sz w:val="24"/>
          <w:szCs w:val="24"/>
        </w:rPr>
        <w:t>验收负责人（建设单位）</w:t>
      </w:r>
      <w:r>
        <w:rPr>
          <w:rFonts w:hint="eastAsia" w:ascii="宋体" w:hAnsi="宋体" w:eastAsia="宋体" w:cs="宋体"/>
          <w:color w:val="000000"/>
          <w:kern w:val="0"/>
          <w:sz w:val="24"/>
          <w:szCs w:val="24"/>
          <w:lang w:eastAsia="zh-CN"/>
        </w:rPr>
        <w:t>。</w:t>
      </w:r>
      <w:bookmarkEnd w:id="36"/>
    </w:p>
    <w:p>
      <w:pPr>
        <w:pStyle w:val="20"/>
        <w:keepNext w:val="0"/>
        <w:keepLines w:val="0"/>
        <w:pageBreakBefore w:val="0"/>
        <w:widowControl/>
        <w:kinsoku/>
        <w:wordWrap/>
        <w:overflowPunct/>
        <w:topLinePunct w:val="0"/>
        <w:autoSpaceDE/>
        <w:autoSpaceDN/>
        <w:bidi w:val="0"/>
        <w:adjustRightInd w:val="0"/>
        <w:snapToGrid w:val="0"/>
        <w:spacing w:after="0" w:line="520" w:lineRule="exact"/>
        <w:ind w:left="0" w:leftChars="0" w:firstLine="720" w:firstLineChars="300"/>
        <w:textAlignment w:val="auto"/>
        <w:rPr>
          <w:rFonts w:hint="eastAsia" w:ascii="宋体" w:hAnsi="宋体" w:eastAsia="宋体" w:cs="宋体"/>
          <w:sz w:val="24"/>
          <w:szCs w:val="24"/>
        </w:rPr>
      </w:pPr>
      <w:bookmarkStart w:id="37" w:name="_Toc21337_WPSOffice_Level1"/>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项目施工为项目业主单位。</w:t>
      </w:r>
      <w:bookmarkEnd w:id="37"/>
    </w:p>
    <w:p>
      <w:pPr>
        <w:keepNext w:val="0"/>
        <w:keepLines w:val="0"/>
        <w:pageBreakBefore w:val="0"/>
        <w:widowControl/>
        <w:kinsoku/>
        <w:wordWrap/>
        <w:overflowPunct/>
        <w:topLinePunct w:val="0"/>
        <w:autoSpaceDE/>
        <w:autoSpaceDN/>
        <w:bidi w:val="0"/>
        <w:adjustRightInd w:val="0"/>
        <w:snapToGrid w:val="0"/>
        <w:spacing w:after="0" w:line="520" w:lineRule="exact"/>
        <w:ind w:right="-934" w:firstLine="840" w:firstLineChars="300"/>
        <w:jc w:val="left"/>
        <w:textAlignment w:val="auto"/>
        <w:rPr>
          <w:rFonts w:hint="eastAsia" w:ascii="宋体" w:hAnsi="宋体" w:eastAsia="宋体" w:cs="宋体"/>
          <w:sz w:val="28"/>
          <w:szCs w:val="28"/>
          <w:shd w:val="clear" w:color="auto" w:fill="auto"/>
        </w:rPr>
      </w:pPr>
      <w:bookmarkStart w:id="38" w:name="_Toc17933_WPSOffice_Level1"/>
      <w:r>
        <w:rPr>
          <w:rFonts w:hint="eastAsia" w:ascii="宋体" w:hAnsi="宋体" w:eastAsia="宋体" w:cs="宋体"/>
          <w:sz w:val="28"/>
          <w:szCs w:val="28"/>
          <w:shd w:val="clear" w:color="auto" w:fill="auto"/>
        </w:rPr>
        <w:t>建设单位盖章：中国石化销售有限公司贵州黔西南石油分公司</w:t>
      </w:r>
      <w:bookmarkEnd w:id="38"/>
    </w:p>
    <w:p>
      <w:pPr>
        <w:keepNext w:val="0"/>
        <w:keepLines w:val="0"/>
        <w:pageBreakBefore w:val="0"/>
        <w:widowControl/>
        <w:kinsoku/>
        <w:wordWrap/>
        <w:overflowPunct/>
        <w:topLinePunct w:val="0"/>
        <w:autoSpaceDE/>
        <w:autoSpaceDN/>
        <w:bidi w:val="0"/>
        <w:adjustRightInd w:val="0"/>
        <w:snapToGrid w:val="0"/>
        <w:spacing w:after="0" w:line="520" w:lineRule="exact"/>
        <w:ind w:firstLine="560" w:firstLineChars="200"/>
        <w:jc w:val="left"/>
        <w:textAlignment w:val="auto"/>
        <w:rPr>
          <w:rFonts w:hint="eastAsia"/>
          <w:b w:val="0"/>
          <w:bCs/>
          <w:color w:val="000000"/>
          <w:sz w:val="28"/>
          <w:szCs w:val="28"/>
          <w:lang w:eastAsia="zh-CN"/>
        </w:rPr>
      </w:pPr>
      <w:r>
        <w:rPr>
          <w:rFonts w:hint="eastAsia" w:ascii="宋体" w:hAnsi="宋体" w:eastAsia="宋体" w:cs="宋体"/>
          <w:sz w:val="28"/>
          <w:szCs w:val="28"/>
        </w:rPr>
        <w:t xml:space="preserve">                                   </w:t>
      </w:r>
      <w:r>
        <w:rPr>
          <w:rFonts w:hint="eastAsia" w:ascii="宋体" w:hAnsi="宋体" w:eastAsia="宋体" w:cs="宋体"/>
          <w:sz w:val="28"/>
          <w:szCs w:val="28"/>
          <w:lang w:val="en-US" w:eastAsia="zh-CN"/>
        </w:rPr>
        <w:t xml:space="preserve">   </w:t>
      </w:r>
      <w:bookmarkStart w:id="39" w:name="_Toc12972_WPSOffice_Level1"/>
      <w:r>
        <w:rPr>
          <w:rFonts w:hint="eastAsia" w:ascii="宋体" w:hAnsi="宋体" w:eastAsia="宋体" w:cs="宋体"/>
          <w:sz w:val="28"/>
          <w:szCs w:val="28"/>
        </w:rPr>
        <w:t>2018年</w:t>
      </w:r>
      <w:r>
        <w:rPr>
          <w:rFonts w:hint="eastAsia" w:ascii="宋体" w:hAnsi="宋体" w:eastAsia="宋体" w:cs="宋体"/>
          <w:sz w:val="28"/>
          <w:szCs w:val="28"/>
          <w:lang w:val="en-US" w:eastAsia="zh-CN"/>
        </w:rPr>
        <w:t>12</w:t>
      </w:r>
      <w:r>
        <w:rPr>
          <w:rFonts w:hint="eastAsia" w:ascii="宋体" w:hAnsi="宋体" w:eastAsia="宋体" w:cs="宋体"/>
          <w:sz w:val="28"/>
          <w:szCs w:val="28"/>
        </w:rPr>
        <w:t>月</w:t>
      </w:r>
      <w:r>
        <w:rPr>
          <w:rFonts w:hint="eastAsia" w:ascii="宋体" w:hAnsi="宋体" w:eastAsia="宋体" w:cs="宋体"/>
          <w:sz w:val="28"/>
          <w:szCs w:val="28"/>
          <w:lang w:val="en-US" w:eastAsia="zh-CN"/>
        </w:rPr>
        <w:t>26</w:t>
      </w:r>
      <w:r>
        <w:rPr>
          <w:rFonts w:hint="eastAsia" w:ascii="宋体" w:hAnsi="宋体" w:eastAsia="宋体" w:cs="宋体"/>
          <w:sz w:val="28"/>
          <w:szCs w:val="28"/>
        </w:rPr>
        <w:t>日</w:t>
      </w:r>
      <w:bookmarkEnd w:id="39"/>
    </w:p>
    <w:p>
      <w:pPr>
        <w:pStyle w:val="20"/>
        <w:spacing w:after="0" w:line="360" w:lineRule="auto"/>
        <w:ind w:firstLine="0" w:firstLineChars="0"/>
        <w:jc w:val="center"/>
        <w:rPr>
          <w:rFonts w:hint="eastAsia" w:eastAsia="宋体"/>
          <w:b/>
          <w:bCs/>
          <w:sz w:val="28"/>
          <w:szCs w:val="28"/>
        </w:rPr>
        <w:sectPr>
          <w:footerReference r:id="rId14" w:type="default"/>
          <w:pgSz w:w="11906" w:h="16838"/>
          <w:pgMar w:top="1440" w:right="1800" w:bottom="1440" w:left="1800" w:header="708" w:footer="708" w:gutter="0"/>
          <w:pgNumType w:fmt="decimal" w:start="1"/>
          <w:cols w:space="720" w:num="1"/>
          <w:docGrid w:linePitch="360" w:charSpace="0"/>
        </w:sectPr>
      </w:pPr>
    </w:p>
    <w:p>
      <w:pPr>
        <w:pStyle w:val="7"/>
        <w:rPr>
          <w:rFonts w:hint="eastAsia"/>
        </w:rPr>
      </w:pPr>
    </w:p>
    <w:p>
      <w:pPr>
        <w:pStyle w:val="20"/>
        <w:spacing w:after="0" w:line="360" w:lineRule="auto"/>
        <w:ind w:firstLine="0" w:firstLineChars="0"/>
        <w:jc w:val="center"/>
        <w:rPr>
          <w:rFonts w:eastAsia="宋体"/>
          <w:b/>
          <w:bCs/>
          <w:sz w:val="144"/>
          <w:szCs w:val="144"/>
        </w:rPr>
      </w:pPr>
      <w:bookmarkStart w:id="40" w:name="_Toc12427_WPSOffice_Level1"/>
      <w:r>
        <w:rPr>
          <w:rFonts w:hint="eastAsia" w:eastAsia="宋体"/>
          <w:b/>
          <w:bCs/>
          <w:sz w:val="144"/>
          <w:szCs w:val="144"/>
        </w:rPr>
        <w:t>第</w:t>
      </w:r>
      <w:bookmarkEnd w:id="40"/>
    </w:p>
    <w:p>
      <w:pPr>
        <w:pStyle w:val="7"/>
        <w:spacing w:after="0" w:line="360" w:lineRule="auto"/>
        <w:ind w:firstLine="0" w:firstLineChars="0"/>
        <w:jc w:val="center"/>
        <w:rPr>
          <w:rFonts w:hint="eastAsia" w:ascii="宋体" w:hAnsi="宋体" w:eastAsia="宋体" w:cs="宋体"/>
          <w:b/>
          <w:bCs/>
          <w:sz w:val="144"/>
          <w:szCs w:val="144"/>
          <w:lang w:eastAsia="zh-CN"/>
        </w:rPr>
      </w:pPr>
      <w:bookmarkStart w:id="41" w:name="_Toc30184_WPSOffice_Level1"/>
      <w:r>
        <w:rPr>
          <w:rFonts w:hint="eastAsia" w:ascii="宋体" w:hAnsi="宋体" w:eastAsia="宋体" w:cs="宋体"/>
          <w:b/>
          <w:bCs/>
          <w:sz w:val="144"/>
          <w:szCs w:val="144"/>
          <w:lang w:eastAsia="zh-CN"/>
        </w:rPr>
        <w:t>三</w:t>
      </w:r>
      <w:bookmarkEnd w:id="41"/>
    </w:p>
    <w:p>
      <w:pPr>
        <w:pStyle w:val="7"/>
        <w:spacing w:after="0" w:line="360" w:lineRule="auto"/>
        <w:ind w:firstLine="0" w:firstLineChars="0"/>
        <w:jc w:val="center"/>
        <w:rPr>
          <w:rFonts w:ascii="宋体" w:hAnsi="宋体" w:eastAsia="宋体" w:cs="宋体"/>
          <w:b/>
          <w:bCs/>
          <w:sz w:val="144"/>
          <w:szCs w:val="144"/>
        </w:rPr>
      </w:pPr>
      <w:bookmarkStart w:id="42" w:name="_Toc2644_WPSOffice_Level1"/>
      <w:r>
        <w:rPr>
          <w:rFonts w:hint="eastAsia" w:ascii="宋体" w:hAnsi="宋体" w:eastAsia="宋体" w:cs="宋体"/>
          <w:b/>
          <w:bCs/>
          <w:sz w:val="144"/>
          <w:szCs w:val="144"/>
        </w:rPr>
        <w:t>部</w:t>
      </w:r>
      <w:bookmarkEnd w:id="42"/>
    </w:p>
    <w:p>
      <w:pPr>
        <w:pStyle w:val="7"/>
        <w:spacing w:after="0" w:line="360" w:lineRule="auto"/>
        <w:ind w:firstLine="0" w:firstLineChars="0"/>
        <w:jc w:val="center"/>
        <w:rPr>
          <w:rFonts w:ascii="宋体" w:hAnsi="宋体" w:eastAsia="宋体" w:cs="宋体"/>
          <w:b/>
          <w:bCs/>
          <w:sz w:val="144"/>
          <w:szCs w:val="144"/>
        </w:rPr>
      </w:pPr>
      <w:bookmarkStart w:id="43" w:name="_Toc31543_WPSOffice_Level1"/>
      <w:r>
        <w:rPr>
          <w:rFonts w:hint="eastAsia" w:ascii="宋体" w:hAnsi="宋体" w:eastAsia="宋体" w:cs="宋体"/>
          <w:b/>
          <w:bCs/>
          <w:sz w:val="144"/>
          <w:szCs w:val="144"/>
        </w:rPr>
        <w:t>份</w:t>
      </w:r>
      <w:bookmarkEnd w:id="43"/>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spacing w:before="30"/>
        <w:jc w:val="both"/>
        <w:rPr>
          <w:rFonts w:hint="eastAsia" w:ascii="宋体" w:hAnsi="宋体" w:eastAsia="宋体" w:cs="宋体"/>
          <w:b/>
          <w:color w:val="000000"/>
          <w:spacing w:val="-52"/>
          <w:sz w:val="44"/>
          <w:szCs w:val="44"/>
        </w:rPr>
        <w:sectPr>
          <w:footerReference r:id="rId15" w:type="default"/>
          <w:pgSz w:w="11906" w:h="16838"/>
          <w:pgMar w:top="1440" w:right="1800" w:bottom="1440" w:left="1800" w:header="708" w:footer="708" w:gutter="0"/>
          <w:pgNumType w:fmt="decimal" w:start="1"/>
          <w:cols w:space="720" w:num="1"/>
          <w:docGrid w:linePitch="360" w:charSpace="0"/>
        </w:sectPr>
      </w:pPr>
    </w:p>
    <w:p>
      <w:pPr>
        <w:spacing w:before="30"/>
        <w:jc w:val="center"/>
        <w:rPr>
          <w:rFonts w:hint="eastAsia" w:ascii="宋体" w:hAnsi="宋体" w:eastAsia="宋体" w:cs="宋体"/>
          <w:sz w:val="36"/>
          <w:szCs w:val="36"/>
        </w:rPr>
      </w:pPr>
      <w:bookmarkStart w:id="44" w:name="_Toc19212_WPSOffice_Level1"/>
      <w:r>
        <w:rPr>
          <w:rFonts w:hint="eastAsia" w:ascii="宋体" w:hAnsi="宋体" w:eastAsia="宋体" w:cs="宋体"/>
          <w:b/>
          <w:color w:val="000000"/>
          <w:spacing w:val="-52"/>
          <w:sz w:val="36"/>
          <w:szCs w:val="36"/>
        </w:rPr>
        <w:t>其 他 说 明 事 项</w:t>
      </w:r>
      <w:bookmarkEnd w:id="44"/>
    </w:p>
    <w:p>
      <w:pPr>
        <w:keepNext w:val="0"/>
        <w:keepLines w:val="0"/>
        <w:pageBreakBefore w:val="0"/>
        <w:widowControl/>
        <w:numPr>
          <w:ilvl w:val="0"/>
          <w:numId w:val="6"/>
        </w:numPr>
        <w:kinsoku/>
        <w:wordWrap/>
        <w:overflowPunct/>
        <w:topLinePunct w:val="0"/>
        <w:autoSpaceDE/>
        <w:autoSpaceDN/>
        <w:bidi w:val="0"/>
        <w:adjustRightInd w:val="0"/>
        <w:snapToGrid w:val="0"/>
        <w:spacing w:after="0" w:line="360" w:lineRule="auto"/>
        <w:ind w:firstLine="562" w:firstLineChars="200"/>
        <w:textAlignment w:val="auto"/>
        <w:rPr>
          <w:rFonts w:hint="eastAsia" w:ascii="宋体" w:hAnsi="宋体" w:eastAsia="宋体" w:cs="宋体"/>
          <w:b/>
          <w:bCs/>
          <w:sz w:val="28"/>
          <w:szCs w:val="28"/>
        </w:rPr>
      </w:pPr>
      <w:bookmarkStart w:id="45" w:name="_Toc11591_WPSOffice_Level1"/>
      <w:r>
        <w:rPr>
          <w:rFonts w:hint="eastAsia" w:ascii="宋体" w:hAnsi="宋体" w:eastAsia="宋体" w:cs="宋体"/>
          <w:b/>
          <w:bCs/>
          <w:sz w:val="28"/>
          <w:szCs w:val="28"/>
        </w:rPr>
        <w:t>环境保护设计、施工和验收过程简况</w:t>
      </w:r>
      <w:bookmarkEnd w:id="45"/>
    </w:p>
    <w:p>
      <w:pPr>
        <w:numPr>
          <w:ilvl w:val="0"/>
          <w:numId w:val="7"/>
        </w:numPr>
        <w:spacing w:before="156" w:beforeLines="50" w:after="156" w:afterLines="50" w:line="360" w:lineRule="auto"/>
        <w:ind w:firstLine="562" w:firstLineChars="200"/>
        <w:rPr>
          <w:rFonts w:hint="eastAsia" w:ascii="宋体" w:hAnsi="宋体" w:eastAsia="宋体" w:cs="宋体"/>
          <w:b/>
          <w:bCs/>
          <w:sz w:val="28"/>
          <w:szCs w:val="28"/>
        </w:rPr>
      </w:pPr>
      <w:bookmarkStart w:id="46" w:name="_Toc21337_WPSOffice_Level2"/>
      <w:r>
        <w:rPr>
          <w:rFonts w:hint="eastAsia" w:ascii="宋体" w:hAnsi="宋体" w:eastAsia="宋体" w:cs="宋体"/>
          <w:b/>
          <w:bCs/>
          <w:sz w:val="28"/>
          <w:szCs w:val="28"/>
        </w:rPr>
        <w:t>设计简况</w:t>
      </w:r>
      <w:bookmarkEnd w:id="46"/>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中国石化销售有限公司贵州黔西南石油分公司晴隆油库建设项目的环境保护设施已纳入初步设计，环境保护设施的设计基本符合环境保护设计规范的要求并编制了环境保护篇章，落实了防治污染和生态破坏的措施以及环境保护设施投资概算。</w:t>
      </w:r>
    </w:p>
    <w:p>
      <w:pPr>
        <w:numPr>
          <w:ilvl w:val="0"/>
          <w:numId w:val="7"/>
        </w:numPr>
        <w:spacing w:before="156" w:beforeLines="50" w:after="156" w:afterLines="50" w:line="360" w:lineRule="auto"/>
        <w:ind w:firstLine="562" w:firstLineChars="200"/>
        <w:rPr>
          <w:rFonts w:hint="eastAsia" w:ascii="宋体" w:hAnsi="宋体" w:eastAsia="宋体" w:cs="宋体"/>
          <w:b/>
          <w:bCs/>
          <w:sz w:val="28"/>
          <w:szCs w:val="28"/>
        </w:rPr>
      </w:pPr>
      <w:bookmarkStart w:id="47" w:name="_Toc17933_WPSOffice_Level2"/>
      <w:r>
        <w:rPr>
          <w:rFonts w:hint="eastAsia" w:ascii="宋体" w:hAnsi="宋体" w:eastAsia="宋体" w:cs="宋体"/>
          <w:b/>
          <w:bCs/>
          <w:sz w:val="28"/>
          <w:szCs w:val="28"/>
        </w:rPr>
        <w:t>施工简况</w:t>
      </w:r>
      <w:bookmarkEnd w:id="47"/>
    </w:p>
    <w:p>
      <w:pPr>
        <w:pStyle w:val="13"/>
        <w:widowControl/>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本项目在施工过程中，严格按照设计的要求将环保设施纳入施工合同，环境保护设施的建设进度和资金都有一定的保证，项目建设过程中组织实施了环境影响报告表及其审批决定中提出的环境保护对策措施。</w:t>
      </w:r>
    </w:p>
    <w:p>
      <w:pPr>
        <w:numPr>
          <w:ilvl w:val="0"/>
          <w:numId w:val="7"/>
        </w:numPr>
        <w:spacing w:before="156" w:beforeLines="50" w:after="156" w:afterLines="50" w:line="360" w:lineRule="auto"/>
        <w:ind w:firstLine="562" w:firstLineChars="200"/>
        <w:rPr>
          <w:rFonts w:hint="eastAsia" w:ascii="宋体" w:hAnsi="宋体" w:eastAsia="宋体" w:cs="宋体"/>
          <w:b/>
          <w:bCs/>
          <w:sz w:val="28"/>
          <w:szCs w:val="28"/>
        </w:rPr>
      </w:pPr>
      <w:bookmarkStart w:id="48" w:name="_Toc12972_WPSOffice_Level2"/>
      <w:r>
        <w:rPr>
          <w:rFonts w:hint="eastAsia" w:ascii="宋体" w:hAnsi="宋体" w:eastAsia="宋体" w:cs="宋体"/>
          <w:b/>
          <w:bCs/>
          <w:sz w:val="28"/>
          <w:szCs w:val="28"/>
        </w:rPr>
        <w:t>验收过程简况</w:t>
      </w:r>
      <w:bookmarkEnd w:id="48"/>
    </w:p>
    <w:p>
      <w:pPr>
        <w:pStyle w:val="13"/>
        <w:widowControl/>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项目于20</w:t>
      </w:r>
      <w:r>
        <w:rPr>
          <w:rFonts w:hint="eastAsia" w:ascii="宋体" w:hAnsi="宋体" w:eastAsia="宋体" w:cs="宋体"/>
          <w:sz w:val="24"/>
          <w:szCs w:val="24"/>
          <w:lang w:val="en-US" w:eastAsia="zh-CN"/>
        </w:rPr>
        <w:t>06</w:t>
      </w:r>
      <w:r>
        <w:rPr>
          <w:rFonts w:hint="eastAsia" w:ascii="宋体" w:hAnsi="宋体" w:eastAsia="宋体" w:cs="宋体"/>
          <w:sz w:val="24"/>
          <w:szCs w:val="24"/>
        </w:rPr>
        <w:t>年</w:t>
      </w:r>
      <w:r>
        <w:rPr>
          <w:rFonts w:hint="eastAsia" w:ascii="宋体" w:hAnsi="宋体" w:eastAsia="宋体" w:cs="宋体"/>
          <w:sz w:val="24"/>
          <w:szCs w:val="24"/>
          <w:lang w:val="en-US" w:eastAsia="zh-CN"/>
        </w:rPr>
        <w:t>5</w:t>
      </w:r>
      <w:r>
        <w:rPr>
          <w:rFonts w:hint="eastAsia" w:ascii="宋体" w:hAnsi="宋体" w:eastAsia="宋体" w:cs="宋体"/>
          <w:sz w:val="24"/>
          <w:szCs w:val="24"/>
        </w:rPr>
        <w:t>月开工，20</w:t>
      </w:r>
      <w:r>
        <w:rPr>
          <w:rFonts w:hint="eastAsia" w:ascii="宋体" w:hAnsi="宋体" w:eastAsia="宋体" w:cs="宋体"/>
          <w:sz w:val="24"/>
          <w:szCs w:val="24"/>
          <w:lang w:val="en-US" w:eastAsia="zh-CN"/>
        </w:rPr>
        <w:t>08</w:t>
      </w:r>
      <w:r>
        <w:rPr>
          <w:rFonts w:hint="eastAsia" w:ascii="宋体" w:hAnsi="宋体" w:eastAsia="宋体" w:cs="宋体"/>
          <w:sz w:val="24"/>
          <w:szCs w:val="24"/>
        </w:rPr>
        <w:t>年</w:t>
      </w:r>
      <w:r>
        <w:rPr>
          <w:rFonts w:hint="eastAsia" w:ascii="宋体" w:hAnsi="宋体" w:eastAsia="宋体" w:cs="宋体"/>
          <w:sz w:val="24"/>
          <w:szCs w:val="24"/>
          <w:lang w:val="en-US" w:eastAsia="zh-CN"/>
        </w:rPr>
        <w:t>3</w:t>
      </w:r>
      <w:r>
        <w:rPr>
          <w:rFonts w:hint="eastAsia" w:ascii="宋体" w:hAnsi="宋体" w:eastAsia="宋体" w:cs="宋体"/>
          <w:sz w:val="24"/>
          <w:szCs w:val="24"/>
        </w:rPr>
        <w:t>月竣工，同时进行调试营运。满足建设项目竣工环境保护验收监测要求，中国石化销售有限公司贵州黔西南石油分公司自主开展本项目竣工环境保护验收工作。2018年</w:t>
      </w:r>
      <w:r>
        <w:rPr>
          <w:rFonts w:hint="eastAsia" w:ascii="宋体" w:hAnsi="宋体" w:eastAsia="宋体" w:cs="宋体"/>
          <w:sz w:val="24"/>
          <w:szCs w:val="24"/>
          <w:lang w:val="en-US" w:eastAsia="zh-CN"/>
        </w:rPr>
        <w:t>7</w:t>
      </w:r>
      <w:r>
        <w:rPr>
          <w:rFonts w:hint="eastAsia" w:ascii="宋体" w:hAnsi="宋体" w:eastAsia="宋体" w:cs="宋体"/>
          <w:sz w:val="24"/>
          <w:szCs w:val="24"/>
        </w:rPr>
        <w:t>月</w:t>
      </w:r>
      <w:r>
        <w:rPr>
          <w:rFonts w:hint="eastAsia" w:ascii="宋体" w:hAnsi="宋体" w:eastAsia="宋体" w:cs="宋体"/>
          <w:sz w:val="24"/>
          <w:szCs w:val="24"/>
          <w:lang w:val="en-US" w:eastAsia="zh-CN"/>
        </w:rPr>
        <w:t>15</w:t>
      </w:r>
      <w:r>
        <w:rPr>
          <w:rFonts w:hint="eastAsia" w:ascii="宋体" w:hAnsi="宋体" w:eastAsia="宋体" w:cs="宋体"/>
          <w:sz w:val="24"/>
          <w:szCs w:val="24"/>
        </w:rPr>
        <w:t>日，委托贵州省洪鑫环境检测服务有限公司完成项目环保竣工验收监测，并完成项目环保竣工验收监测报告的编制。</w:t>
      </w:r>
    </w:p>
    <w:p>
      <w:pPr>
        <w:pStyle w:val="13"/>
        <w:widowControl/>
        <w:spacing w:before="0" w:beforeAutospacing="0" w:after="0" w:afterAutospacing="0"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2018年</w:t>
      </w:r>
      <w:r>
        <w:rPr>
          <w:rFonts w:hint="eastAsia" w:ascii="宋体" w:hAnsi="宋体" w:eastAsia="宋体" w:cs="宋体"/>
          <w:sz w:val="24"/>
          <w:szCs w:val="24"/>
          <w:lang w:val="en-US" w:eastAsia="zh-CN"/>
        </w:rPr>
        <w:t>12</w:t>
      </w:r>
      <w:r>
        <w:rPr>
          <w:rFonts w:hint="eastAsia" w:ascii="宋体" w:hAnsi="宋体" w:eastAsia="宋体" w:cs="宋体"/>
          <w:sz w:val="24"/>
          <w:szCs w:val="24"/>
        </w:rPr>
        <w:t>月</w:t>
      </w:r>
      <w:r>
        <w:rPr>
          <w:rFonts w:hint="eastAsia" w:ascii="宋体" w:hAnsi="宋体" w:eastAsia="宋体" w:cs="宋体"/>
          <w:sz w:val="24"/>
          <w:szCs w:val="24"/>
          <w:lang w:val="en-US" w:eastAsia="zh-CN"/>
        </w:rPr>
        <w:t>26</w:t>
      </w:r>
      <w:r>
        <w:rPr>
          <w:rFonts w:hint="eastAsia" w:ascii="宋体" w:hAnsi="宋体" w:eastAsia="宋体" w:cs="宋体"/>
          <w:sz w:val="24"/>
          <w:szCs w:val="24"/>
        </w:rPr>
        <w:t>日，中国石化销售有限公司贵州黔西南石油分公司根据《中国石化销售有限公司贵州黔西南石油分公司晴隆油库建设项目竣工环境保护验收监测报告》，并对照《建设项目竣工环境保护验收暂行办法》，依照国家有关法律法规、建设项目竣工环境保护验收技术规范、本项目环境影响评价报告表和审批部门审批决定等要求对本项目进行了竣工环境保护验收。参加会议的有项目设计单位及施工单位、验收监测单位(贵州省洪鑫环境检测服务有限公司)相关负责人及黔西南州环境监测站龚振江、曹环礼、刘国华3位特邀专家</w:t>
      </w:r>
      <w:r>
        <w:rPr>
          <w:rFonts w:hint="eastAsia" w:ascii="宋体" w:hAnsi="宋体" w:eastAsia="宋体" w:cs="宋体"/>
          <w:sz w:val="24"/>
          <w:szCs w:val="24"/>
          <w:lang w:eastAsia="zh-CN"/>
        </w:rPr>
        <w:t>，</w:t>
      </w:r>
      <w:r>
        <w:rPr>
          <w:rFonts w:hint="eastAsia" w:ascii="宋体" w:hAnsi="宋体" w:eastAsia="宋体" w:cs="宋体"/>
          <w:sz w:val="24"/>
          <w:szCs w:val="24"/>
        </w:rPr>
        <w:t>环评单位(</w:t>
      </w:r>
      <w:r>
        <w:rPr>
          <w:rFonts w:hint="eastAsia" w:ascii="宋体" w:hAnsi="宋体" w:eastAsia="宋体" w:cs="宋体"/>
          <w:sz w:val="24"/>
          <w:szCs w:val="24"/>
          <w:lang w:eastAsia="zh-CN"/>
        </w:rPr>
        <w:t>贵州绿宏环保科技</w:t>
      </w:r>
      <w:r>
        <w:rPr>
          <w:rFonts w:hint="eastAsia" w:ascii="宋体" w:hAnsi="宋体" w:eastAsia="宋体" w:cs="宋体"/>
          <w:sz w:val="24"/>
          <w:szCs w:val="24"/>
        </w:rPr>
        <w:t>有限公司)</w:t>
      </w:r>
      <w:r>
        <w:rPr>
          <w:rFonts w:hint="eastAsia" w:ascii="宋体" w:hAnsi="宋体" w:eastAsia="宋体" w:cs="宋体"/>
          <w:sz w:val="24"/>
          <w:szCs w:val="24"/>
          <w:lang w:eastAsia="zh-CN"/>
        </w:rPr>
        <w:t>到现场</w:t>
      </w:r>
      <w:r>
        <w:rPr>
          <w:rFonts w:hint="eastAsia" w:ascii="宋体" w:hAnsi="宋体" w:eastAsia="宋体" w:cs="宋体"/>
          <w:sz w:val="24"/>
          <w:szCs w:val="24"/>
        </w:rPr>
        <w:t>。验收组现场检查了项目环保设施的建设情况，听取了建设单位关于项目环境保护执行情况的介绍，经认真讨论，形成验收意见（验收意见及验收组人员名单详见项目竣工环境保护验收第二部分内容：验收意见）。</w:t>
      </w:r>
    </w:p>
    <w:p>
      <w:pPr>
        <w:spacing w:before="156" w:beforeLines="50" w:after="156" w:afterLines="50" w:line="360" w:lineRule="auto"/>
        <w:ind w:firstLine="562" w:firstLineChars="200"/>
        <w:rPr>
          <w:rFonts w:hint="eastAsia" w:ascii="宋体" w:hAnsi="宋体" w:eastAsia="宋体" w:cs="宋体"/>
          <w:b/>
          <w:bCs/>
          <w:sz w:val="28"/>
          <w:szCs w:val="28"/>
        </w:rPr>
      </w:pPr>
      <w:bookmarkStart w:id="49" w:name="_Toc12427_WPSOffice_Level2"/>
      <w:r>
        <w:rPr>
          <w:rFonts w:hint="eastAsia" w:ascii="宋体" w:hAnsi="宋体" w:eastAsia="宋体" w:cs="宋体"/>
          <w:b/>
          <w:bCs/>
          <w:sz w:val="28"/>
          <w:szCs w:val="28"/>
        </w:rPr>
        <w:t>4、公众反馈意见及处理情况</w:t>
      </w:r>
      <w:bookmarkEnd w:id="49"/>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项目设计、施工和验收期间未收到公众反馈意见及投诉。</w:t>
      </w:r>
    </w:p>
    <w:p>
      <w:pPr>
        <w:spacing w:before="156" w:beforeLines="50" w:after="156" w:afterLines="50" w:line="360" w:lineRule="auto"/>
        <w:ind w:firstLine="281" w:firstLineChars="100"/>
        <w:rPr>
          <w:rFonts w:hint="eastAsia" w:ascii="宋体" w:hAnsi="宋体" w:eastAsia="宋体" w:cs="宋体"/>
          <w:b/>
          <w:bCs/>
          <w:sz w:val="28"/>
          <w:szCs w:val="28"/>
        </w:rPr>
      </w:pPr>
      <w:bookmarkStart w:id="50" w:name="_Toc9686_WPSOffice_Level1"/>
      <w:r>
        <w:rPr>
          <w:rFonts w:hint="eastAsia" w:ascii="宋体" w:hAnsi="宋体" w:eastAsia="宋体" w:cs="宋体"/>
          <w:b/>
          <w:bCs/>
          <w:sz w:val="28"/>
          <w:szCs w:val="28"/>
        </w:rPr>
        <w:t>二、其他环境保护措施的落实情况</w:t>
      </w:r>
      <w:bookmarkEnd w:id="50"/>
    </w:p>
    <w:p>
      <w:pPr>
        <w:pStyle w:val="13"/>
        <w:widowControl/>
        <w:spacing w:before="156" w:beforeLines="50" w:beforeAutospacing="0" w:after="156" w:afterLines="50" w:afterAutospacing="0" w:line="360" w:lineRule="auto"/>
        <w:ind w:firstLine="482" w:firstLineChars="200"/>
        <w:rPr>
          <w:rFonts w:hint="eastAsia" w:ascii="宋体" w:hAnsi="宋体" w:eastAsia="宋体" w:cs="宋体"/>
          <w:b/>
          <w:bCs/>
          <w:sz w:val="24"/>
          <w:szCs w:val="24"/>
        </w:rPr>
      </w:pPr>
      <w:bookmarkStart w:id="51" w:name="_Toc30184_WPSOffice_Level2"/>
      <w:r>
        <w:rPr>
          <w:rFonts w:hint="eastAsia" w:ascii="宋体" w:hAnsi="宋体" w:eastAsia="宋体" w:cs="宋体"/>
          <w:b/>
          <w:bCs/>
          <w:sz w:val="24"/>
          <w:szCs w:val="24"/>
        </w:rPr>
        <w:t>1、制度措施落实情况</w:t>
      </w:r>
      <w:bookmarkEnd w:id="51"/>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按环评要求建立了环保组织机构及领导小组，明确岗位职责，由专人负责日常管理。</w:t>
      </w:r>
    </w:p>
    <w:p>
      <w:pPr>
        <w:numPr>
          <w:ilvl w:val="0"/>
          <w:numId w:val="8"/>
        </w:numPr>
        <w:spacing w:before="156" w:beforeLines="50" w:after="156" w:afterLines="50" w:line="360" w:lineRule="auto"/>
        <w:ind w:firstLine="482" w:firstLineChars="200"/>
        <w:rPr>
          <w:rFonts w:hint="eastAsia" w:ascii="宋体" w:hAnsi="宋体" w:eastAsia="宋体" w:cs="宋体"/>
          <w:b/>
          <w:bCs/>
          <w:sz w:val="24"/>
          <w:szCs w:val="24"/>
        </w:rPr>
      </w:pPr>
      <w:bookmarkStart w:id="52" w:name="_Toc2644_WPSOffice_Level2"/>
      <w:r>
        <w:rPr>
          <w:rFonts w:hint="eastAsia" w:ascii="宋体" w:hAnsi="宋体" w:eastAsia="宋体" w:cs="宋体"/>
          <w:b/>
          <w:bCs/>
          <w:sz w:val="24"/>
          <w:szCs w:val="24"/>
        </w:rPr>
        <w:t>环境风险防范措施</w:t>
      </w:r>
      <w:bookmarkEnd w:id="52"/>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项目目前尚未制定环境风险应急预案。</w:t>
      </w:r>
    </w:p>
    <w:p>
      <w:pPr>
        <w:pStyle w:val="27"/>
        <w:spacing w:before="0" w:beforeAutospacing="0" w:after="0" w:afterAutospacing="0" w:line="240" w:lineRule="auto"/>
        <w:jc w:val="both"/>
        <w:outlineLvl w:val="0"/>
        <w:rPr>
          <w:rFonts w:hint="eastAsia"/>
          <w:b w:val="0"/>
          <w:bCs/>
          <w:color w:val="000000"/>
          <w:sz w:val="24"/>
          <w:szCs w:val="24"/>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sectPr>
          <w:footerReference r:id="rId16" w:type="default"/>
          <w:pgSz w:w="11906" w:h="16838"/>
          <w:pgMar w:top="1440" w:right="1800" w:bottom="1440" w:left="1800" w:header="708" w:footer="708" w:gutter="0"/>
          <w:pgNumType w:fmt="decimal" w:start="1"/>
          <w:cols w:space="720" w:num="1"/>
          <w:docGrid w:linePitch="360" w:charSpace="0"/>
        </w:sect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val="en-US" w:eastAsia="zh-CN"/>
        </w:rPr>
      </w:pPr>
      <w:r>
        <w:rPr>
          <w:rFonts w:hint="eastAsia"/>
          <w:b w:val="0"/>
          <w:bCs/>
          <w:color w:val="000000"/>
          <w:sz w:val="21"/>
          <w:szCs w:val="21"/>
          <w:lang w:eastAsia="zh-CN"/>
        </w:rPr>
        <w:t>附件</w:t>
      </w:r>
      <w:r>
        <w:rPr>
          <w:rFonts w:hint="eastAsia"/>
          <w:b w:val="0"/>
          <w:bCs/>
          <w:color w:val="000000"/>
          <w:sz w:val="21"/>
          <w:szCs w:val="21"/>
          <w:lang w:val="en-US" w:eastAsia="zh-CN"/>
        </w:rPr>
        <w:t>1</w:t>
      </w:r>
    </w:p>
    <w:p>
      <w:pPr>
        <w:pStyle w:val="27"/>
        <w:spacing w:before="0" w:beforeAutospacing="0" w:after="0" w:afterAutospacing="0" w:line="240" w:lineRule="auto"/>
        <w:jc w:val="both"/>
        <w:outlineLvl w:val="0"/>
        <w:rPr>
          <w:rFonts w:hint="eastAsia"/>
          <w:b w:val="0"/>
          <w:bCs/>
          <w:color w:val="000000"/>
          <w:sz w:val="21"/>
          <w:szCs w:val="21"/>
          <w:lang w:val="en-US" w:eastAsia="zh-CN"/>
        </w:rPr>
      </w:pPr>
      <w:r>
        <w:rPr>
          <w:rFonts w:hint="eastAsia" w:eastAsia="宋体"/>
          <w:color w:val="000000"/>
          <w:sz w:val="21"/>
          <w:szCs w:val="21"/>
          <w:lang w:eastAsia="zh-CN"/>
        </w:rPr>
        <w:drawing>
          <wp:inline distT="0" distB="0" distL="114300" distR="114300">
            <wp:extent cx="5271135" cy="7494905"/>
            <wp:effectExtent l="0" t="0" r="5715" b="10795"/>
            <wp:docPr id="2" name="图片 2" descr="Doc201809271703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c201809271703200001"/>
                    <pic:cNvPicPr>
                      <a:picLocks noChangeAspect="1"/>
                    </pic:cNvPicPr>
                  </pic:nvPicPr>
                  <pic:blipFill>
                    <a:blip r:embed="rId23"/>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360" w:lineRule="exact"/>
        <w:jc w:val="both"/>
        <w:outlineLvl w:val="0"/>
        <w:rPr>
          <w:rFonts w:hint="eastAsia"/>
          <w:b w:val="0"/>
          <w:bCs/>
          <w:color w:val="000000"/>
          <w:sz w:val="21"/>
          <w:szCs w:val="21"/>
          <w:lang w:eastAsia="zh-CN"/>
        </w:rPr>
      </w:pPr>
    </w:p>
    <w:p>
      <w:pPr>
        <w:pStyle w:val="27"/>
        <w:spacing w:before="0" w:beforeAutospacing="0" w:after="0" w:afterAutospacing="0" w:line="240" w:lineRule="auto"/>
        <w:jc w:val="both"/>
        <w:outlineLvl w:val="0"/>
        <w:rPr>
          <w:rFonts w:hint="eastAsia"/>
          <w:b w:val="0"/>
          <w:bCs/>
          <w:color w:val="000000"/>
          <w:sz w:val="21"/>
          <w:szCs w:val="21"/>
          <w:lang w:val="en-US" w:eastAsia="zh-CN"/>
        </w:rPr>
      </w:pPr>
      <w:r>
        <w:rPr>
          <w:rFonts w:hint="eastAsia"/>
          <w:b w:val="0"/>
          <w:bCs/>
          <w:color w:val="000000"/>
          <w:sz w:val="21"/>
          <w:szCs w:val="21"/>
          <w:lang w:eastAsia="zh-CN"/>
        </w:rPr>
        <w:t>附件</w:t>
      </w:r>
      <w:r>
        <w:rPr>
          <w:rFonts w:hint="eastAsia"/>
          <w:b w:val="0"/>
          <w:bCs/>
          <w:color w:val="000000"/>
          <w:sz w:val="21"/>
          <w:szCs w:val="21"/>
          <w:lang w:val="en-US" w:eastAsia="zh-CN"/>
        </w:rPr>
        <w:t>2</w:t>
      </w:r>
    </w:p>
    <w:p>
      <w:pPr>
        <w:pStyle w:val="27"/>
        <w:spacing w:before="0" w:beforeAutospacing="0" w:after="0" w:afterAutospacing="0" w:line="240" w:lineRule="auto"/>
        <w:jc w:val="both"/>
        <w:outlineLvl w:val="0"/>
        <w:rPr>
          <w:rFonts w:hint="eastAsia"/>
          <w:b w:val="0"/>
          <w:bCs/>
          <w:color w:val="000000"/>
          <w:sz w:val="21"/>
          <w:szCs w:val="21"/>
          <w:lang w:val="en-US" w:eastAsia="zh-CN"/>
        </w:rPr>
      </w:pPr>
      <w:r>
        <w:drawing>
          <wp:inline distT="0" distB="0" distL="114300" distR="114300">
            <wp:extent cx="5414645" cy="7454900"/>
            <wp:effectExtent l="0" t="0" r="14605" b="1270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24"/>
                    <a:stretch>
                      <a:fillRect/>
                    </a:stretch>
                  </pic:blipFill>
                  <pic:spPr>
                    <a:xfrm>
                      <a:off x="0" y="0"/>
                      <a:ext cx="5414645" cy="7454900"/>
                    </a:xfrm>
                    <a:prstGeom prst="rect">
                      <a:avLst/>
                    </a:prstGeom>
                    <a:noFill/>
                    <a:ln w="9525">
                      <a:noFill/>
                    </a:ln>
                  </pic:spPr>
                </pic:pic>
              </a:graphicData>
            </a:graphic>
          </wp:inline>
        </w:drawing>
      </w:r>
    </w:p>
    <w:p>
      <w:pPr>
        <w:pStyle w:val="27"/>
        <w:spacing w:before="0" w:beforeAutospacing="0" w:after="0" w:afterAutospacing="0" w:line="240" w:lineRule="auto"/>
        <w:jc w:val="both"/>
        <w:outlineLvl w:val="0"/>
      </w:pPr>
      <w:r>
        <w:drawing>
          <wp:inline distT="0" distB="0" distL="114300" distR="114300">
            <wp:extent cx="5269865" cy="6864350"/>
            <wp:effectExtent l="0" t="0" r="6985" b="12700"/>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25"/>
                    <a:stretch>
                      <a:fillRect/>
                    </a:stretch>
                  </pic:blipFill>
                  <pic:spPr>
                    <a:xfrm>
                      <a:off x="0" y="0"/>
                      <a:ext cx="5269865" cy="6864350"/>
                    </a:xfrm>
                    <a:prstGeom prst="rect">
                      <a:avLst/>
                    </a:prstGeom>
                    <a:noFill/>
                    <a:ln w="9525">
                      <a:noFill/>
                    </a:ln>
                  </pic:spPr>
                </pic:pic>
              </a:graphicData>
            </a:graphic>
          </wp:inline>
        </w:drawing>
      </w: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rPr>
          <w:rFonts w:hint="eastAsia"/>
          <w:lang w:val="en-US" w:eastAsia="zh-CN"/>
        </w:rPr>
      </w:pPr>
      <w:r>
        <w:rPr>
          <w:rFonts w:hint="eastAsia"/>
          <w:lang w:eastAsia="zh-CN"/>
        </w:rPr>
        <w:t>附件</w:t>
      </w:r>
      <w:r>
        <w:rPr>
          <w:rFonts w:hint="eastAsia"/>
          <w:lang w:val="en-US" w:eastAsia="zh-CN"/>
        </w:rPr>
        <w:t>3</w:t>
      </w:r>
    </w:p>
    <w:p>
      <w:pPr>
        <w:pStyle w:val="3"/>
        <w:keepNext/>
        <w:keepLines/>
        <w:pageBreakBefore w:val="0"/>
        <w:widowControl/>
        <w:kinsoku/>
        <w:wordWrap/>
        <w:overflowPunct/>
        <w:topLinePunct w:val="0"/>
        <w:autoSpaceDE/>
        <w:autoSpaceDN/>
        <w:bidi w:val="0"/>
        <w:adjustRightInd w:val="0"/>
        <w:snapToGrid w:val="0"/>
        <w:spacing w:after="0" w:line="360" w:lineRule="auto"/>
        <w:jc w:val="center"/>
        <w:textAlignment w:val="auto"/>
        <w:rPr>
          <w:rFonts w:hint="eastAsia" w:ascii="宋体" w:hAnsi="宋体" w:eastAsia="宋体" w:cs="宋体"/>
          <w:color w:val="auto"/>
        </w:rPr>
      </w:pPr>
      <w:bookmarkStart w:id="53" w:name="_Toc31543_WPSOffice_Level2"/>
      <w:r>
        <w:rPr>
          <w:rFonts w:hint="eastAsia" w:ascii="宋体" w:hAnsi="宋体" w:eastAsia="宋体" w:cs="宋体"/>
          <w:color w:val="auto"/>
        </w:rPr>
        <w:t>中国石化销售有限公司贵州黔西南石油分公司</w:t>
      </w:r>
      <w:bookmarkEnd w:id="53"/>
    </w:p>
    <w:p>
      <w:pPr>
        <w:pStyle w:val="3"/>
        <w:keepNext/>
        <w:keepLines/>
        <w:pageBreakBefore w:val="0"/>
        <w:widowControl/>
        <w:kinsoku/>
        <w:wordWrap/>
        <w:overflowPunct/>
        <w:topLinePunct w:val="0"/>
        <w:autoSpaceDE/>
        <w:autoSpaceDN/>
        <w:bidi w:val="0"/>
        <w:adjustRightInd w:val="0"/>
        <w:snapToGrid w:val="0"/>
        <w:spacing w:after="0" w:line="360" w:lineRule="auto"/>
        <w:jc w:val="center"/>
        <w:textAlignment w:val="auto"/>
        <w:rPr>
          <w:rFonts w:hint="eastAsia" w:ascii="宋体" w:hAnsi="宋体" w:eastAsia="宋体" w:cs="宋体"/>
          <w:color w:val="auto"/>
        </w:rPr>
      </w:pPr>
      <w:bookmarkStart w:id="54" w:name="_Toc19212_WPSOffice_Level2"/>
      <w:r>
        <w:rPr>
          <w:rFonts w:hint="eastAsia" w:ascii="宋体" w:hAnsi="宋体" w:eastAsia="宋体" w:cs="宋体"/>
          <w:color w:val="auto"/>
        </w:rPr>
        <w:t>晴隆油库建设项目环境保护验收一览表</w:t>
      </w:r>
      <w:bookmarkEnd w:id="54"/>
    </w:p>
    <w:tbl>
      <w:tblPr>
        <w:tblStyle w:val="18"/>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2489"/>
        <w:gridCol w:w="3345"/>
        <w:gridCol w:w="2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序号</w:t>
            </w: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污染源</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环保设施验收内容</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5"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Cs/>
                <w:color w:val="auto"/>
                <w:sz w:val="22"/>
                <w:szCs w:val="22"/>
              </w:rPr>
              <w:t>一</w:t>
            </w:r>
          </w:p>
        </w:tc>
        <w:tc>
          <w:tcPr>
            <w:tcW w:w="8753"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废气方面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66"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装车平台汽油油气回</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收装置</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油气回收装置</w:t>
            </w:r>
            <w:r>
              <w:rPr>
                <w:rFonts w:hint="eastAsia" w:ascii="宋体" w:hAnsi="宋体" w:eastAsia="宋体" w:cs="宋体"/>
                <w:color w:val="auto"/>
                <w:sz w:val="22"/>
                <w:szCs w:val="22"/>
                <w:lang w:val="en-US" w:eastAsia="zh-CN"/>
              </w:rPr>
              <w:t>1套</w:t>
            </w:r>
            <w:r>
              <w:rPr>
                <w:rFonts w:hint="eastAsia" w:ascii="宋体" w:hAnsi="宋体" w:eastAsia="宋体" w:cs="宋体"/>
                <w:color w:val="auto"/>
                <w:sz w:val="22"/>
                <w:szCs w:val="22"/>
              </w:rPr>
              <w:t>，处理规模 200m</w:t>
            </w:r>
            <w:r>
              <w:rPr>
                <w:rFonts w:hint="eastAsia" w:ascii="宋体" w:hAnsi="宋体" w:eastAsia="宋体" w:cs="宋体"/>
                <w:color w:val="auto"/>
                <w:sz w:val="22"/>
                <w:szCs w:val="22"/>
                <w:vertAlign w:val="superscript"/>
              </w:rPr>
              <w:t>3</w:t>
            </w:r>
            <w:r>
              <w:rPr>
                <w:rFonts w:hint="eastAsia" w:ascii="宋体" w:hAnsi="宋体" w:eastAsia="宋体" w:cs="宋体"/>
                <w:color w:val="auto"/>
                <w:sz w:val="22"/>
                <w:szCs w:val="22"/>
              </w:rPr>
              <w:t>/h，</w:t>
            </w:r>
            <w:r>
              <w:rPr>
                <w:rFonts w:hint="eastAsia" w:ascii="宋体" w:hAnsi="宋体" w:eastAsia="宋体" w:cs="宋体"/>
                <w:color w:val="auto"/>
                <w:sz w:val="22"/>
                <w:szCs w:val="22"/>
                <w:lang w:val="en-US" w:eastAsia="zh-CN"/>
              </w:rPr>
              <w:t>处理效率95%，</w:t>
            </w:r>
            <w:r>
              <w:rPr>
                <w:rFonts w:hint="eastAsia" w:ascii="宋体" w:hAnsi="宋体" w:eastAsia="宋体" w:cs="宋体"/>
                <w:color w:val="auto"/>
                <w:sz w:val="22"/>
                <w:szCs w:val="22"/>
              </w:rPr>
              <w:t>设置高于4m的油气回收装置排气筒</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《储油库大气污染物排</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放标准》（GB20950-2007）中油气回收装置油气排放标准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二</w:t>
            </w:r>
          </w:p>
        </w:tc>
        <w:tc>
          <w:tcPr>
            <w:tcW w:w="8753"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废水方面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含油初期雨水</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油水分理池</w:t>
            </w:r>
            <w:r>
              <w:rPr>
                <w:rFonts w:hint="eastAsia" w:ascii="宋体" w:hAnsi="宋体" w:eastAsia="宋体" w:cs="宋体"/>
                <w:color w:val="auto"/>
                <w:sz w:val="22"/>
                <w:szCs w:val="22"/>
                <w:lang w:val="en-US" w:eastAsia="zh-CN"/>
              </w:rPr>
              <w:t>一座</w:t>
            </w:r>
            <w:r>
              <w:rPr>
                <w:rFonts w:hint="eastAsia" w:ascii="宋体" w:hAnsi="宋体" w:eastAsia="宋体" w:cs="宋体"/>
                <w:color w:val="auto"/>
                <w:sz w:val="22"/>
                <w:szCs w:val="22"/>
              </w:rPr>
              <w:t>，容积为200m</w:t>
            </w:r>
            <w:r>
              <w:rPr>
                <w:rFonts w:hint="eastAsia" w:ascii="宋体" w:hAnsi="宋体" w:eastAsia="宋体" w:cs="宋体"/>
                <w:color w:val="auto"/>
                <w:sz w:val="22"/>
                <w:szCs w:val="22"/>
                <w:vertAlign w:val="superscript"/>
              </w:rPr>
              <w:t>3</w:t>
            </w:r>
          </w:p>
        </w:tc>
        <w:tc>
          <w:tcPr>
            <w:tcW w:w="2919"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w:t>
            </w:r>
            <w:r>
              <w:rPr>
                <w:rFonts w:hint="eastAsia" w:ascii="宋体" w:hAnsi="宋体" w:eastAsia="宋体" w:cs="宋体"/>
                <w:color w:val="auto"/>
                <w:sz w:val="22"/>
                <w:szCs w:val="22"/>
                <w:lang w:eastAsia="zh-CN"/>
              </w:rPr>
              <w:t>污水综合</w:t>
            </w:r>
            <w:r>
              <w:rPr>
                <w:rFonts w:hint="eastAsia" w:ascii="宋体" w:hAnsi="宋体" w:eastAsia="宋体" w:cs="宋体"/>
                <w:color w:val="auto"/>
                <w:sz w:val="22"/>
                <w:szCs w:val="22"/>
              </w:rPr>
              <w:t>排放标准》（GB8978-1996）中一级排放标准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应急事故池</w:t>
            </w:r>
            <w:r>
              <w:rPr>
                <w:rFonts w:hint="eastAsia" w:ascii="宋体" w:hAnsi="宋体" w:eastAsia="宋体" w:cs="宋体"/>
                <w:color w:val="auto"/>
                <w:sz w:val="22"/>
                <w:szCs w:val="22"/>
                <w:lang w:val="en-US" w:eastAsia="zh-CN"/>
              </w:rPr>
              <w:t>一座</w:t>
            </w:r>
            <w:r>
              <w:rPr>
                <w:rFonts w:hint="eastAsia" w:ascii="宋体" w:hAnsi="宋体" w:eastAsia="宋体" w:cs="宋体"/>
                <w:color w:val="auto"/>
                <w:sz w:val="22"/>
                <w:szCs w:val="22"/>
              </w:rPr>
              <w:t>，容积为750m</w:t>
            </w:r>
            <w:r>
              <w:rPr>
                <w:rFonts w:hint="eastAsia" w:ascii="宋体" w:hAnsi="宋体" w:eastAsia="宋体" w:cs="宋体"/>
                <w:color w:val="auto"/>
                <w:sz w:val="22"/>
                <w:szCs w:val="22"/>
                <w:vertAlign w:val="superscript"/>
              </w:rPr>
              <w:t>3</w:t>
            </w:r>
          </w:p>
        </w:tc>
        <w:tc>
          <w:tcPr>
            <w:tcW w:w="2919"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trPr>
        <w:tc>
          <w:tcPr>
            <w:tcW w:w="49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生活污水</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化粪池</w:t>
            </w:r>
            <w:r>
              <w:rPr>
                <w:rFonts w:hint="eastAsia" w:ascii="宋体" w:hAnsi="宋体" w:eastAsia="宋体" w:cs="宋体"/>
                <w:color w:val="auto"/>
                <w:sz w:val="22"/>
                <w:szCs w:val="22"/>
                <w:lang w:val="en-US" w:eastAsia="zh-CN"/>
              </w:rPr>
              <w:t>一座</w:t>
            </w:r>
            <w:r>
              <w:rPr>
                <w:rFonts w:hint="eastAsia" w:ascii="宋体" w:hAnsi="宋体" w:eastAsia="宋体" w:cs="宋体"/>
                <w:color w:val="auto"/>
                <w:sz w:val="22"/>
                <w:szCs w:val="22"/>
              </w:rPr>
              <w:t>，容积为10m</w:t>
            </w:r>
            <w:r>
              <w:rPr>
                <w:rFonts w:hint="eastAsia" w:ascii="宋体" w:hAnsi="宋体" w:eastAsia="宋体" w:cs="宋体"/>
                <w:color w:val="auto"/>
                <w:sz w:val="22"/>
                <w:szCs w:val="22"/>
                <w:vertAlign w:val="superscript"/>
              </w:rPr>
              <w:t>3</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清掏作农肥，不外排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三</w:t>
            </w:r>
          </w:p>
        </w:tc>
        <w:tc>
          <w:tcPr>
            <w:tcW w:w="8753"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噪声方面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噪声</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建筑隔声、基础减震等；厂界周围建设2.5m高围墙</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《工业企业厂界环境噪声排放标准》（GB12348-2008）2 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四</w:t>
            </w:r>
          </w:p>
        </w:tc>
        <w:tc>
          <w:tcPr>
            <w:tcW w:w="8753"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b/>
                <w:color w:val="auto"/>
                <w:sz w:val="22"/>
                <w:szCs w:val="22"/>
              </w:rPr>
            </w:pPr>
            <w:r>
              <w:rPr>
                <w:rFonts w:hint="eastAsia" w:ascii="宋体" w:hAnsi="宋体" w:eastAsia="宋体" w:cs="宋体"/>
                <w:b/>
                <w:color w:val="auto"/>
                <w:sz w:val="22"/>
                <w:szCs w:val="22"/>
              </w:rPr>
              <w:t>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0" w:hRule="atLeast"/>
        </w:trPr>
        <w:tc>
          <w:tcPr>
            <w:tcW w:w="49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储罐油泥</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由专业油罐清洗单位回收处置</w:t>
            </w:r>
          </w:p>
        </w:tc>
        <w:tc>
          <w:tcPr>
            <w:tcW w:w="2919"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得到妥善处置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9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污水处理系统油泥</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危废暂存间（5m</w:t>
            </w:r>
            <w:r>
              <w:rPr>
                <w:rFonts w:hint="eastAsia" w:ascii="宋体" w:hAnsi="宋体" w:eastAsia="宋体" w:cs="宋体"/>
                <w:color w:val="auto"/>
                <w:sz w:val="22"/>
                <w:szCs w:val="22"/>
                <w:vertAlign w:val="superscript"/>
              </w:rPr>
              <w:t>3</w:t>
            </w:r>
            <w:r>
              <w:rPr>
                <w:rFonts w:hint="eastAsia" w:ascii="宋体" w:hAnsi="宋体" w:eastAsia="宋体" w:cs="宋体"/>
                <w:color w:val="auto"/>
                <w:sz w:val="22"/>
                <w:szCs w:val="22"/>
              </w:rPr>
              <w:t>）暂存，交由有资质的危险废物</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处置单位进行处理</w:t>
            </w:r>
          </w:p>
        </w:tc>
        <w:tc>
          <w:tcPr>
            <w:tcW w:w="2919"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5" w:hRule="atLeast"/>
        </w:trPr>
        <w:tc>
          <w:tcPr>
            <w:tcW w:w="49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生活垃圾</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由环卫部门清运处置</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对周围环境影响小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五</w:t>
            </w: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地面防渗措施</w:t>
            </w:r>
          </w:p>
        </w:tc>
        <w:tc>
          <w:tcPr>
            <w:tcW w:w="6264" w:type="dxa"/>
            <w:gridSpan w:val="2"/>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泵区、油品装车平台、污水处理设施、应急事故池等做好防腐、防渗措施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六</w:t>
            </w: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生态防护</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绿化工程</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绿化面积不小于1000m</w:t>
            </w:r>
            <w:r>
              <w:rPr>
                <w:rFonts w:hint="eastAsia" w:ascii="宋体" w:hAnsi="宋体" w:eastAsia="宋体" w:cs="宋体"/>
                <w:color w:val="auto"/>
                <w:sz w:val="22"/>
                <w:szCs w:val="22"/>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七</w:t>
            </w:r>
          </w:p>
        </w:tc>
        <w:tc>
          <w:tcPr>
            <w:tcW w:w="8753"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环境风险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85" w:hRule="atLeast"/>
        </w:trPr>
        <w:tc>
          <w:tcPr>
            <w:tcW w:w="490"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p>
        </w:tc>
        <w:tc>
          <w:tcPr>
            <w:tcW w:w="248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油品泄漏、火灾、爆</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炸等事故</w:t>
            </w:r>
          </w:p>
        </w:tc>
        <w:tc>
          <w:tcPr>
            <w:tcW w:w="3345"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事故池、防火提、灭火器材等</w:t>
            </w:r>
          </w:p>
        </w:tc>
        <w:tc>
          <w:tcPr>
            <w:tcW w:w="2919" w:type="dxa"/>
            <w:noWrap w:val="0"/>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满足事故应急要求</w:t>
            </w:r>
          </w:p>
        </w:tc>
      </w:tr>
    </w:tbl>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t>附件4</w:t>
      </w:r>
    </w:p>
    <w:p>
      <w:pPr>
        <w:pStyle w:val="27"/>
        <w:spacing w:before="0" w:beforeAutospacing="0" w:after="0" w:afterAutospacing="0" w:line="240" w:lineRule="auto"/>
        <w:jc w:val="both"/>
        <w:outlineLvl w:val="0"/>
        <w:rPr>
          <w:rFonts w:hint="eastAsia"/>
          <w:lang w:val="en-US" w:eastAsia="zh-CN"/>
        </w:rPr>
      </w:pPr>
      <w:r>
        <w:drawing>
          <wp:inline distT="0" distB="0" distL="114300" distR="114300">
            <wp:extent cx="5254625" cy="7980680"/>
            <wp:effectExtent l="0" t="0" r="3175" b="127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6"/>
                    <a:stretch>
                      <a:fillRect/>
                    </a:stretch>
                  </pic:blipFill>
                  <pic:spPr>
                    <a:xfrm>
                      <a:off x="0" y="0"/>
                      <a:ext cx="5254625" cy="7980680"/>
                    </a:xfrm>
                    <a:prstGeom prst="rect">
                      <a:avLst/>
                    </a:prstGeom>
                    <a:noFill/>
                    <a:ln w="9525">
                      <a:noFill/>
                    </a:ln>
                  </pic:spPr>
                </pic:pic>
              </a:graphicData>
            </a:graphic>
          </wp:inline>
        </w:drawing>
      </w:r>
    </w:p>
    <w:p>
      <w:pPr>
        <w:pStyle w:val="27"/>
        <w:spacing w:before="0" w:beforeAutospacing="0" w:after="0" w:afterAutospacing="0" w:line="240" w:lineRule="auto"/>
        <w:jc w:val="both"/>
        <w:outlineLvl w:val="0"/>
      </w:pPr>
      <w:r>
        <w:drawing>
          <wp:inline distT="0" distB="0" distL="114300" distR="114300">
            <wp:extent cx="5269865" cy="7705090"/>
            <wp:effectExtent l="0" t="0" r="6985" b="10160"/>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7"/>
                    <a:stretch>
                      <a:fillRect/>
                    </a:stretch>
                  </pic:blipFill>
                  <pic:spPr>
                    <a:xfrm>
                      <a:off x="0" y="0"/>
                      <a:ext cx="5269865" cy="7705090"/>
                    </a:xfrm>
                    <a:prstGeom prst="rect">
                      <a:avLst/>
                    </a:prstGeom>
                    <a:noFill/>
                    <a:ln w="9525">
                      <a:noFill/>
                    </a:ln>
                  </pic:spPr>
                </pic:pic>
              </a:graphicData>
            </a:graphic>
          </wp:inline>
        </w:drawing>
      </w:r>
      <w:r>
        <w:drawing>
          <wp:inline distT="0" distB="0" distL="114300" distR="114300">
            <wp:extent cx="5257165" cy="7647940"/>
            <wp:effectExtent l="0" t="0" r="635" b="1016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8"/>
                    <a:stretch>
                      <a:fillRect/>
                    </a:stretch>
                  </pic:blipFill>
                  <pic:spPr>
                    <a:xfrm>
                      <a:off x="0" y="0"/>
                      <a:ext cx="5257165" cy="7647940"/>
                    </a:xfrm>
                    <a:prstGeom prst="rect">
                      <a:avLst/>
                    </a:prstGeom>
                    <a:noFill/>
                    <a:ln w="9525">
                      <a:noFill/>
                    </a:ln>
                  </pic:spPr>
                </pic:pic>
              </a:graphicData>
            </a:graphic>
          </wp:inline>
        </w:drawing>
      </w: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t>附件5</w:t>
      </w: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3" name="图片 33" descr="Doc2018101609342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oc201810160934230001"/>
                    <pic:cNvPicPr>
                      <a:picLocks noChangeAspect="1"/>
                    </pic:cNvPicPr>
                  </pic:nvPicPr>
                  <pic:blipFill>
                    <a:blip r:embed="rId29"/>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4" name="图片 34" descr="Doc2018101609342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oc201810160934230002"/>
                    <pic:cNvPicPr>
                      <a:picLocks noChangeAspect="1"/>
                    </pic:cNvPicPr>
                  </pic:nvPicPr>
                  <pic:blipFill>
                    <a:blip r:embed="rId30"/>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5" name="图片 35" descr="Doc2018101609342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oc201810160934230003"/>
                    <pic:cNvPicPr>
                      <a:picLocks noChangeAspect="1"/>
                    </pic:cNvPicPr>
                  </pic:nvPicPr>
                  <pic:blipFill>
                    <a:blip r:embed="rId31"/>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6" name="图片 36" descr="Doc20181016093423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oc201810160934230004"/>
                    <pic:cNvPicPr>
                      <a:picLocks noChangeAspect="1"/>
                    </pic:cNvPicPr>
                  </pic:nvPicPr>
                  <pic:blipFill>
                    <a:blip r:embed="rId32"/>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7" name="图片 37" descr="Doc2018101609342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oc201810160934230005"/>
                    <pic:cNvPicPr>
                      <a:picLocks noChangeAspect="1"/>
                    </pic:cNvPicPr>
                  </pic:nvPicPr>
                  <pic:blipFill>
                    <a:blip r:embed="rId33"/>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1135" cy="7494905"/>
            <wp:effectExtent l="0" t="0" r="5715" b="10795"/>
            <wp:docPr id="38" name="图片 38" descr="Doc2018101609342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oc201810160934230006"/>
                    <pic:cNvPicPr>
                      <a:picLocks noChangeAspect="1"/>
                    </pic:cNvPicPr>
                  </pic:nvPicPr>
                  <pic:blipFill>
                    <a:blip r:embed="rId34"/>
                    <a:stretch>
                      <a:fillRect/>
                    </a:stretch>
                  </pic:blipFill>
                  <pic:spPr>
                    <a:xfrm>
                      <a:off x="0" y="0"/>
                      <a:ext cx="5271135" cy="749490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t>附件6</w:t>
      </w: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0500" cy="7493635"/>
            <wp:effectExtent l="0" t="0" r="6350" b="12065"/>
            <wp:docPr id="3" name="图片 3" descr="Doc2018111216344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c201811121634430001"/>
                    <pic:cNvPicPr>
                      <a:picLocks noChangeAspect="1"/>
                    </pic:cNvPicPr>
                  </pic:nvPicPr>
                  <pic:blipFill>
                    <a:blip r:embed="rId35"/>
                    <a:stretch>
                      <a:fillRect/>
                    </a:stretch>
                  </pic:blipFill>
                  <pic:spPr>
                    <a:xfrm>
                      <a:off x="0" y="0"/>
                      <a:ext cx="5270500" cy="749363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r>
        <w:rPr>
          <w:rFonts w:hint="eastAsia"/>
          <w:lang w:val="en-US" w:eastAsia="zh-CN"/>
        </w:rPr>
        <w:drawing>
          <wp:inline distT="0" distB="0" distL="114300" distR="114300">
            <wp:extent cx="5270500" cy="7493635"/>
            <wp:effectExtent l="0" t="0" r="6350" b="12065"/>
            <wp:docPr id="4" name="图片 4" descr="Doc2018111216344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oc201811121634430002"/>
                    <pic:cNvPicPr>
                      <a:picLocks noChangeAspect="1"/>
                    </pic:cNvPicPr>
                  </pic:nvPicPr>
                  <pic:blipFill>
                    <a:blip r:embed="rId36"/>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6" name="图片 6" descr="Doc20181112163443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oc201811121634430003"/>
                    <pic:cNvPicPr>
                      <a:picLocks noChangeAspect="1"/>
                    </pic:cNvPicPr>
                  </pic:nvPicPr>
                  <pic:blipFill>
                    <a:blip r:embed="rId37"/>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11" name="图片 11" descr="Doc20181112163443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oc201811121634430004"/>
                    <pic:cNvPicPr>
                      <a:picLocks noChangeAspect="1"/>
                    </pic:cNvPicPr>
                  </pic:nvPicPr>
                  <pic:blipFill>
                    <a:blip r:embed="rId38"/>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13" name="图片 13" descr="Doc20181112163443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oc201811121634430005"/>
                    <pic:cNvPicPr>
                      <a:picLocks noChangeAspect="1"/>
                    </pic:cNvPicPr>
                  </pic:nvPicPr>
                  <pic:blipFill>
                    <a:blip r:embed="rId39"/>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21" name="图片 21" descr="Doc2018111216344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oc201811121634430006"/>
                    <pic:cNvPicPr>
                      <a:picLocks noChangeAspect="1"/>
                    </pic:cNvPicPr>
                  </pic:nvPicPr>
                  <pic:blipFill>
                    <a:blip r:embed="rId40"/>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22" name="图片 22" descr="Doc20181112163443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c201811121634430007"/>
                    <pic:cNvPicPr>
                      <a:picLocks noChangeAspect="1"/>
                    </pic:cNvPicPr>
                  </pic:nvPicPr>
                  <pic:blipFill>
                    <a:blip r:embed="rId41"/>
                    <a:stretch>
                      <a:fillRect/>
                    </a:stretch>
                  </pic:blipFill>
                  <pic:spPr>
                    <a:xfrm>
                      <a:off x="0" y="0"/>
                      <a:ext cx="5270500" cy="7493635"/>
                    </a:xfrm>
                    <a:prstGeom prst="rect">
                      <a:avLst/>
                    </a:prstGeom>
                  </pic:spPr>
                </pic:pic>
              </a:graphicData>
            </a:graphic>
          </wp:inline>
        </w:drawing>
      </w:r>
      <w:r>
        <w:rPr>
          <w:rFonts w:hint="eastAsia"/>
          <w:lang w:val="en-US" w:eastAsia="zh-CN"/>
        </w:rPr>
        <w:drawing>
          <wp:inline distT="0" distB="0" distL="114300" distR="114300">
            <wp:extent cx="5270500" cy="7493635"/>
            <wp:effectExtent l="0" t="0" r="6350" b="12065"/>
            <wp:docPr id="23" name="图片 23" descr="Doc2018111216344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c201811121634430008"/>
                    <pic:cNvPicPr>
                      <a:picLocks noChangeAspect="1"/>
                    </pic:cNvPicPr>
                  </pic:nvPicPr>
                  <pic:blipFill>
                    <a:blip r:embed="rId42"/>
                    <a:stretch>
                      <a:fillRect/>
                    </a:stretch>
                  </pic:blipFill>
                  <pic:spPr>
                    <a:xfrm>
                      <a:off x="0" y="0"/>
                      <a:ext cx="5270500" cy="7493635"/>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both"/>
        <w:outlineLvl w:val="0"/>
        <w:rPr>
          <w:rFonts w:hint="eastAsia"/>
          <w:lang w:val="en-US" w:eastAsia="zh-CN"/>
        </w:rPr>
        <w:sectPr>
          <w:footerReference r:id="rId17" w:type="default"/>
          <w:pgSz w:w="11906" w:h="16838"/>
          <w:pgMar w:top="1440" w:right="1800" w:bottom="1440" w:left="1800" w:header="708" w:footer="708" w:gutter="0"/>
          <w:pgNumType w:fmt="decimal" w:start="1"/>
          <w:cols w:space="720" w:num="1"/>
          <w:docGrid w:linePitch="360" w:charSpace="0"/>
        </w:sectPr>
      </w:pPr>
    </w:p>
    <w:p>
      <w:pPr>
        <w:pStyle w:val="27"/>
        <w:spacing w:before="0" w:beforeAutospacing="0" w:after="0" w:afterAutospacing="0" w:line="240" w:lineRule="auto"/>
        <w:jc w:val="both"/>
        <w:outlineLvl w:val="0"/>
        <w:rPr>
          <w:rFonts w:hint="eastAsia"/>
          <w:lang w:val="en-US" w:eastAsia="zh-CN"/>
        </w:rPr>
      </w:pPr>
    </w:p>
    <w:p>
      <w:pPr>
        <w:pStyle w:val="27"/>
        <w:spacing w:before="0" w:beforeAutospacing="0" w:after="0" w:afterAutospacing="0" w:line="240" w:lineRule="auto"/>
        <w:jc w:val="center"/>
        <w:outlineLvl w:val="0"/>
        <w:rPr>
          <w:rFonts w:hint="eastAsia"/>
          <w:lang w:val="en-US" w:eastAsia="zh-CN"/>
        </w:rPr>
      </w:pPr>
      <w:r>
        <w:rPr>
          <w:rFonts w:hint="eastAsia"/>
          <w:lang w:val="en-US" w:eastAsia="zh-CN"/>
        </w:rPr>
        <w:drawing>
          <wp:inline distT="0" distB="0" distL="114300" distR="114300">
            <wp:extent cx="7493635" cy="4318000"/>
            <wp:effectExtent l="0" t="0" r="12065" b="6350"/>
            <wp:docPr id="24" name="图片 24" descr="Doc2018111216344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oc201811121634430009"/>
                    <pic:cNvPicPr>
                      <a:picLocks noChangeAspect="1"/>
                    </pic:cNvPicPr>
                  </pic:nvPicPr>
                  <pic:blipFill>
                    <a:blip r:embed="rId43"/>
                    <a:stretch>
                      <a:fillRect/>
                    </a:stretch>
                  </pic:blipFill>
                  <pic:spPr>
                    <a:xfrm>
                      <a:off x="0" y="0"/>
                      <a:ext cx="7493635" cy="4318000"/>
                    </a:xfrm>
                    <a:prstGeom prst="rect">
                      <a:avLst/>
                    </a:prstGeom>
                  </pic:spPr>
                </pic:pic>
              </a:graphicData>
            </a:graphic>
          </wp:inline>
        </w:drawing>
      </w:r>
    </w:p>
    <w:p>
      <w:pPr>
        <w:pStyle w:val="27"/>
        <w:spacing w:before="0" w:beforeAutospacing="0" w:after="0" w:afterAutospacing="0" w:line="240" w:lineRule="auto"/>
        <w:jc w:val="both"/>
        <w:outlineLvl w:val="0"/>
        <w:rPr>
          <w:rFonts w:hint="eastAsia"/>
          <w:lang w:val="en-US" w:eastAsia="zh-CN"/>
        </w:rPr>
        <w:sectPr>
          <w:pgSz w:w="16838" w:h="11906" w:orient="landscape"/>
          <w:pgMar w:top="1800" w:right="1440" w:bottom="1800" w:left="1440" w:header="708" w:footer="708" w:gutter="0"/>
          <w:pgNumType w:fmt="decimal" w:start="1"/>
          <w:cols w:space="720" w:num="1"/>
          <w:docGrid w:linePitch="360" w:charSpace="0"/>
        </w:sectPr>
      </w:pPr>
    </w:p>
    <w:p>
      <w:pPr>
        <w:pStyle w:val="27"/>
        <w:spacing w:before="0" w:beforeAutospacing="0" w:after="0" w:afterAutospacing="0" w:line="240" w:lineRule="auto"/>
        <w:jc w:val="both"/>
        <w:outlineLvl w:val="0"/>
        <w:rPr>
          <w:rFonts w:hint="eastAsia"/>
          <w:lang w:val="en-US" w:eastAsia="zh-CN"/>
        </w:rPr>
        <w:sectPr>
          <w:pgSz w:w="11906" w:h="16838"/>
          <w:pgMar w:top="1440" w:right="1800" w:bottom="1440" w:left="1800" w:header="708" w:footer="708" w:gutter="0"/>
          <w:pgNumType w:fmt="decimal" w:start="1"/>
          <w:cols w:space="720" w:num="1"/>
          <w:docGrid w:linePitch="360" w:charSpace="0"/>
        </w:sectPr>
      </w:pPr>
      <w:r>
        <w:rPr>
          <w:rFonts w:hint="eastAsia"/>
          <w:lang w:val="en-US" w:eastAsia="zh-CN"/>
        </w:rPr>
        <w:drawing>
          <wp:inline distT="0" distB="0" distL="114300" distR="114300">
            <wp:extent cx="5270500" cy="7493635"/>
            <wp:effectExtent l="0" t="0" r="6350" b="12065"/>
            <wp:docPr id="25" name="图片 25" descr="Doc2018111216344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oc201811121634430010"/>
                    <pic:cNvPicPr>
                      <a:picLocks noChangeAspect="1"/>
                    </pic:cNvPicPr>
                  </pic:nvPicPr>
                  <pic:blipFill>
                    <a:blip r:embed="rId44"/>
                    <a:stretch>
                      <a:fillRect/>
                    </a:stretch>
                  </pic:blipFill>
                  <pic:spPr>
                    <a:xfrm>
                      <a:off x="0" y="0"/>
                      <a:ext cx="5270500" cy="7493635"/>
                    </a:xfrm>
                    <a:prstGeom prst="rect">
                      <a:avLst/>
                    </a:prstGeom>
                  </pic:spPr>
                </pic:pic>
              </a:graphicData>
            </a:graphic>
          </wp:inline>
        </w:drawing>
      </w:r>
    </w:p>
    <w:p>
      <w:pPr>
        <w:pStyle w:val="27"/>
        <w:spacing w:before="0" w:beforeAutospacing="0" w:after="0" w:afterAutospacing="0" w:line="360" w:lineRule="exact"/>
        <w:jc w:val="both"/>
        <w:outlineLvl w:val="0"/>
        <w:rPr>
          <w:rFonts w:hint="eastAsia" w:eastAsia="宋体"/>
          <w:b w:val="0"/>
          <w:bCs/>
          <w:color w:val="000000"/>
          <w:sz w:val="21"/>
          <w:szCs w:val="21"/>
          <w:lang w:val="en-US" w:eastAsia="zh-CN"/>
        </w:rPr>
      </w:pPr>
      <w:r>
        <w:rPr>
          <w:rFonts w:hint="eastAsia"/>
          <w:b w:val="0"/>
          <w:bCs/>
          <w:color w:val="000000"/>
          <w:sz w:val="21"/>
          <w:szCs w:val="21"/>
          <w:lang w:val="en-US" w:eastAsia="zh-CN"/>
        </w:rPr>
        <w:t>附图1</w:t>
      </w:r>
    </w:p>
    <w:p>
      <w:pPr>
        <w:pStyle w:val="27"/>
        <w:spacing w:before="0" w:beforeAutospacing="0" w:after="0" w:afterAutospacing="0" w:line="240" w:lineRule="auto"/>
        <w:jc w:val="center"/>
        <w:outlineLvl w:val="0"/>
        <w:rPr>
          <w:rFonts w:hint="eastAsia" w:eastAsia="宋体"/>
          <w:b/>
          <w:color w:val="000000"/>
          <w:sz w:val="24"/>
          <w:szCs w:val="24"/>
          <w:lang w:eastAsia="zh-CN"/>
        </w:rPr>
      </w:pPr>
      <w:r>
        <w:drawing>
          <wp:inline distT="0" distB="0" distL="114300" distR="114300">
            <wp:extent cx="8859520" cy="4717415"/>
            <wp:effectExtent l="0" t="0" r="17780" b="698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5"/>
                    <a:stretch>
                      <a:fillRect/>
                    </a:stretch>
                  </pic:blipFill>
                  <pic:spPr>
                    <a:xfrm>
                      <a:off x="0" y="0"/>
                      <a:ext cx="8859520" cy="4717415"/>
                    </a:xfrm>
                    <a:prstGeom prst="rect">
                      <a:avLst/>
                    </a:prstGeom>
                    <a:noFill/>
                    <a:ln w="9525">
                      <a:noFill/>
                    </a:ln>
                  </pic:spPr>
                </pic:pic>
              </a:graphicData>
            </a:graphic>
          </wp:inline>
        </w:drawing>
      </w:r>
      <w:r>
        <w:rPr>
          <w:rFonts w:hint="eastAsia"/>
          <w:sz w:val="24"/>
          <w:szCs w:val="24"/>
          <w:lang w:eastAsia="zh-CN"/>
        </w:rPr>
        <w:t>项目地理位置图</w:t>
      </w:r>
    </w:p>
    <w:p>
      <w:pPr>
        <w:pStyle w:val="27"/>
        <w:spacing w:before="0" w:beforeAutospacing="0" w:after="0" w:afterAutospacing="0" w:line="240" w:lineRule="auto"/>
        <w:jc w:val="both"/>
        <w:outlineLvl w:val="0"/>
        <w:rPr>
          <w:b/>
          <w:color w:val="000000"/>
          <w:sz w:val="21"/>
          <w:szCs w:val="21"/>
        </w:rPr>
      </w:pPr>
    </w:p>
    <w:p>
      <w:pPr>
        <w:pStyle w:val="27"/>
        <w:spacing w:before="0" w:beforeAutospacing="0" w:after="0" w:afterAutospacing="0" w:line="240" w:lineRule="auto"/>
        <w:jc w:val="both"/>
        <w:outlineLvl w:val="0"/>
        <w:rPr>
          <w:rFonts w:hint="eastAsia" w:eastAsia="宋体"/>
          <w:b w:val="0"/>
          <w:bCs/>
          <w:color w:val="000000"/>
          <w:sz w:val="21"/>
          <w:szCs w:val="21"/>
          <w:lang w:val="en-US" w:eastAsia="zh-CN"/>
        </w:rPr>
      </w:pPr>
      <w:r>
        <w:rPr>
          <w:rFonts w:hint="eastAsia"/>
          <w:b w:val="0"/>
          <w:bCs/>
          <w:color w:val="000000"/>
          <w:sz w:val="21"/>
          <w:szCs w:val="21"/>
          <w:lang w:eastAsia="zh-CN"/>
        </w:rPr>
        <w:t>附图</w:t>
      </w:r>
      <w:r>
        <w:rPr>
          <w:rFonts w:hint="eastAsia"/>
          <w:b w:val="0"/>
          <w:bCs/>
          <w:color w:val="000000"/>
          <w:sz w:val="21"/>
          <w:szCs w:val="21"/>
          <w:lang w:val="en-US" w:eastAsia="zh-CN"/>
        </w:rPr>
        <w:t>2</w:t>
      </w:r>
    </w:p>
    <w:p>
      <w:pPr>
        <w:pStyle w:val="27"/>
        <w:spacing w:before="0" w:beforeAutospacing="0" w:after="0" w:afterAutospacing="0" w:line="240" w:lineRule="auto"/>
        <w:jc w:val="center"/>
        <w:outlineLvl w:val="0"/>
        <w:rPr>
          <w:b/>
          <w:color w:val="000000"/>
          <w:sz w:val="21"/>
          <w:szCs w:val="21"/>
        </w:rPr>
        <w:sectPr>
          <w:pgSz w:w="16838" w:h="11906" w:orient="landscape"/>
          <w:pgMar w:top="1800" w:right="1440" w:bottom="1800" w:left="1440" w:header="708" w:footer="708" w:gutter="0"/>
          <w:pgNumType w:fmt="decimal"/>
          <w:cols w:space="720" w:num="1"/>
          <w:docGrid w:linePitch="360" w:charSpace="0"/>
        </w:sectPr>
      </w:pPr>
      <w:r>
        <w:drawing>
          <wp:inline distT="0" distB="0" distL="114300" distR="114300">
            <wp:extent cx="8859520" cy="4498975"/>
            <wp:effectExtent l="0" t="0" r="17780" b="158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6"/>
                    <a:stretch>
                      <a:fillRect/>
                    </a:stretch>
                  </pic:blipFill>
                  <pic:spPr>
                    <a:xfrm>
                      <a:off x="0" y="0"/>
                      <a:ext cx="8859520" cy="4498975"/>
                    </a:xfrm>
                    <a:prstGeom prst="rect">
                      <a:avLst/>
                    </a:prstGeom>
                    <a:noFill/>
                    <a:ln w="9525">
                      <a:noFill/>
                    </a:ln>
                  </pic:spPr>
                </pic:pic>
              </a:graphicData>
            </a:graphic>
          </wp:inline>
        </w:drawing>
      </w:r>
      <w:r>
        <w:rPr>
          <w:rFonts w:hint="eastAsia"/>
          <w:bCs/>
          <w:color w:val="000000"/>
          <w:sz w:val="21"/>
          <w:szCs w:val="21"/>
        </w:rPr>
        <w:t>项目外环境关系图</w:t>
      </w:r>
    </w:p>
    <w:p>
      <w:pPr>
        <w:pStyle w:val="27"/>
        <w:adjustRightInd w:val="0"/>
        <w:snapToGrid w:val="0"/>
        <w:spacing w:before="0" w:beforeAutospacing="0" w:after="0" w:afterAutospacing="0"/>
        <w:jc w:val="both"/>
        <w:outlineLvl w:val="0"/>
        <w:rPr>
          <w:rFonts w:hint="eastAsia" w:eastAsia="宋体"/>
          <w:color w:val="000000"/>
          <w:sz w:val="21"/>
          <w:szCs w:val="21"/>
          <w:lang w:val="en-US" w:eastAsia="zh-CN"/>
        </w:rPr>
      </w:pPr>
      <w:r>
        <w:rPr>
          <w:rFonts w:hint="eastAsia"/>
          <w:color w:val="000000"/>
          <w:sz w:val="21"/>
          <w:szCs w:val="21"/>
          <w:lang w:eastAsia="zh-CN"/>
        </w:rPr>
        <w:t>附图</w:t>
      </w:r>
      <w:r>
        <w:rPr>
          <w:rFonts w:hint="eastAsia"/>
          <w:color w:val="000000"/>
          <w:sz w:val="21"/>
          <w:szCs w:val="21"/>
          <w:lang w:val="en-US" w:eastAsia="zh-CN"/>
        </w:rPr>
        <w:t>3</w:t>
      </w:r>
    </w:p>
    <w:tbl>
      <w:tblPr>
        <w:tblStyle w:val="1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8890" cy="4328160"/>
                  <wp:effectExtent l="0" t="0" r="3810" b="15240"/>
                  <wp:docPr id="7" name="图片 7" descr="IMG_20150223_07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150223_072307"/>
                          <pic:cNvPicPr>
                            <a:picLocks noChangeAspect="1"/>
                          </pic:cNvPicPr>
                        </pic:nvPicPr>
                        <pic:blipFill>
                          <a:blip r:embed="rId47"/>
                          <a:stretch>
                            <a:fillRect/>
                          </a:stretch>
                        </pic:blipFill>
                        <pic:spPr>
                          <a:xfrm>
                            <a:off x="0" y="0"/>
                            <a:ext cx="2548890" cy="4328160"/>
                          </a:xfrm>
                          <a:prstGeom prst="rect">
                            <a:avLst/>
                          </a:prstGeom>
                        </pic:spPr>
                      </pic:pic>
                    </a:graphicData>
                  </a:graphic>
                </wp:inline>
              </w:drawing>
            </w:r>
          </w:p>
        </w:tc>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5080" cy="4335145"/>
                  <wp:effectExtent l="0" t="0" r="7620" b="8255"/>
                  <wp:docPr id="9" name="图片 9" descr="IMG_20150223_07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150223_072137"/>
                          <pic:cNvPicPr>
                            <a:picLocks noChangeAspect="1"/>
                          </pic:cNvPicPr>
                        </pic:nvPicPr>
                        <pic:blipFill>
                          <a:blip r:embed="rId48"/>
                          <a:stretch>
                            <a:fillRect/>
                          </a:stretch>
                        </pic:blipFill>
                        <pic:spPr>
                          <a:xfrm>
                            <a:off x="0" y="0"/>
                            <a:ext cx="2545080" cy="43351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项目储油罐</w:t>
            </w:r>
          </w:p>
        </w:tc>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5080" cy="3716020"/>
                  <wp:effectExtent l="0" t="0" r="7620" b="17780"/>
                  <wp:docPr id="12" name="图片 12" descr="IMG_20150223_07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150223_072601"/>
                          <pic:cNvPicPr>
                            <a:picLocks noChangeAspect="1"/>
                          </pic:cNvPicPr>
                        </pic:nvPicPr>
                        <pic:blipFill>
                          <a:blip r:embed="rId49"/>
                          <a:stretch>
                            <a:fillRect/>
                          </a:stretch>
                        </pic:blipFill>
                        <pic:spPr>
                          <a:xfrm>
                            <a:off x="0" y="0"/>
                            <a:ext cx="2545080" cy="3716020"/>
                          </a:xfrm>
                          <a:prstGeom prst="rect">
                            <a:avLst/>
                          </a:prstGeom>
                        </pic:spPr>
                      </pic:pic>
                    </a:graphicData>
                  </a:graphic>
                </wp:inline>
              </w:drawing>
            </w:r>
          </w:p>
        </w:tc>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8890" cy="3691255"/>
                  <wp:effectExtent l="0" t="0" r="3810" b="4445"/>
                  <wp:docPr id="14" name="图片 14" descr="IMG_20150223_07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150223_071543"/>
                          <pic:cNvPicPr>
                            <a:picLocks noChangeAspect="1"/>
                          </pic:cNvPicPr>
                        </pic:nvPicPr>
                        <pic:blipFill>
                          <a:blip r:embed="rId50"/>
                          <a:stretch>
                            <a:fillRect/>
                          </a:stretch>
                        </pic:blipFill>
                        <pic:spPr>
                          <a:xfrm>
                            <a:off x="0" y="0"/>
                            <a:ext cx="2548890" cy="36912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油水分离池</w:t>
            </w:r>
          </w:p>
        </w:tc>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事故应急池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15" w:hRule="atLeast"/>
        </w:trPr>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5080" cy="4277360"/>
                  <wp:effectExtent l="0" t="0" r="7620" b="8890"/>
                  <wp:docPr id="15" name="图片 15" descr="IMG_20150223_07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150223_073234"/>
                          <pic:cNvPicPr>
                            <a:picLocks noChangeAspect="1"/>
                          </pic:cNvPicPr>
                        </pic:nvPicPr>
                        <pic:blipFill>
                          <a:blip r:embed="rId51"/>
                          <a:stretch>
                            <a:fillRect/>
                          </a:stretch>
                        </pic:blipFill>
                        <pic:spPr>
                          <a:xfrm>
                            <a:off x="0" y="0"/>
                            <a:ext cx="2545080" cy="4277360"/>
                          </a:xfrm>
                          <a:prstGeom prst="rect">
                            <a:avLst/>
                          </a:prstGeom>
                        </pic:spPr>
                      </pic:pic>
                    </a:graphicData>
                  </a:graphic>
                </wp:inline>
              </w:drawing>
            </w:r>
          </w:p>
        </w:tc>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8890" cy="4280535"/>
                  <wp:effectExtent l="0" t="0" r="3810" b="5715"/>
                  <wp:docPr id="16" name="图片 16" descr="IMG_20150223_07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150223_073023"/>
                          <pic:cNvPicPr>
                            <a:picLocks noChangeAspect="1"/>
                          </pic:cNvPicPr>
                        </pic:nvPicPr>
                        <pic:blipFill>
                          <a:blip r:embed="rId52"/>
                          <a:stretch>
                            <a:fillRect/>
                          </a:stretch>
                        </pic:blipFill>
                        <pic:spPr>
                          <a:xfrm>
                            <a:off x="0" y="0"/>
                            <a:ext cx="2548890" cy="42805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化粪池</w:t>
            </w:r>
          </w:p>
        </w:tc>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家用油烟机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5" w:hRule="atLeast"/>
        </w:trPr>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8890" cy="3755390"/>
                  <wp:effectExtent l="0" t="0" r="3810" b="16510"/>
                  <wp:docPr id="19" name="图片 19" descr="IMG_20150223_07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150223_072150"/>
                          <pic:cNvPicPr>
                            <a:picLocks noChangeAspect="1"/>
                          </pic:cNvPicPr>
                        </pic:nvPicPr>
                        <pic:blipFill>
                          <a:blip r:embed="rId53"/>
                          <a:stretch>
                            <a:fillRect/>
                          </a:stretch>
                        </pic:blipFill>
                        <pic:spPr>
                          <a:xfrm>
                            <a:off x="0" y="0"/>
                            <a:ext cx="2548890" cy="3755390"/>
                          </a:xfrm>
                          <a:prstGeom prst="rect">
                            <a:avLst/>
                          </a:prstGeom>
                        </pic:spPr>
                      </pic:pic>
                    </a:graphicData>
                  </a:graphic>
                </wp:inline>
              </w:drawing>
            </w:r>
          </w:p>
        </w:tc>
        <w:tc>
          <w:tcPr>
            <w:tcW w:w="4261" w:type="dxa"/>
          </w:tcPr>
          <w:p>
            <w:pPr>
              <w:pStyle w:val="27"/>
              <w:widowControl w:val="0"/>
              <w:adjustRightInd w:val="0"/>
              <w:snapToGrid w:val="0"/>
              <w:spacing w:before="0" w:beforeAutospacing="0" w:after="0" w:afterAutospacing="0"/>
              <w:jc w:val="both"/>
              <w:outlineLvl w:val="0"/>
              <w:rPr>
                <w:rFonts w:hint="eastAsia" w:eastAsia="宋体"/>
                <w:color w:val="000000"/>
                <w:sz w:val="21"/>
                <w:szCs w:val="21"/>
                <w:vertAlign w:val="baseline"/>
                <w:lang w:eastAsia="zh-CN"/>
              </w:rPr>
            </w:pPr>
            <w:r>
              <w:rPr>
                <w:rFonts w:hint="eastAsia" w:eastAsia="宋体"/>
                <w:color w:val="000000"/>
                <w:sz w:val="21"/>
                <w:szCs w:val="21"/>
                <w:vertAlign w:val="baseline"/>
                <w:lang w:eastAsia="zh-CN"/>
              </w:rPr>
              <w:drawing>
                <wp:inline distT="0" distB="0" distL="114300" distR="114300">
                  <wp:extent cx="2545080" cy="3752215"/>
                  <wp:effectExtent l="0" t="0" r="7620" b="635"/>
                  <wp:docPr id="20" name="图片 20" descr="IMG_20150223_07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150223_072509"/>
                          <pic:cNvPicPr>
                            <a:picLocks noChangeAspect="1"/>
                          </pic:cNvPicPr>
                        </pic:nvPicPr>
                        <pic:blipFill>
                          <a:blip r:embed="rId54"/>
                          <a:stretch>
                            <a:fillRect/>
                          </a:stretch>
                        </pic:blipFill>
                        <pic:spPr>
                          <a:xfrm>
                            <a:off x="0" y="0"/>
                            <a:ext cx="2545080" cy="3752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卸油台</w:t>
            </w:r>
          </w:p>
        </w:tc>
        <w:tc>
          <w:tcPr>
            <w:tcW w:w="4261" w:type="dxa"/>
          </w:tcPr>
          <w:p>
            <w:pPr>
              <w:pStyle w:val="27"/>
              <w:widowControl w:val="0"/>
              <w:adjustRightInd w:val="0"/>
              <w:snapToGrid w:val="0"/>
              <w:spacing w:before="0" w:beforeAutospacing="0" w:after="0" w:afterAutospacing="0"/>
              <w:jc w:val="center"/>
              <w:outlineLvl w:val="0"/>
              <w:rPr>
                <w:rFonts w:hint="eastAsia" w:eastAsia="宋体"/>
                <w:color w:val="000000"/>
                <w:sz w:val="21"/>
                <w:szCs w:val="21"/>
                <w:vertAlign w:val="baseline"/>
                <w:lang w:eastAsia="zh-CN"/>
              </w:rPr>
            </w:pPr>
            <w:r>
              <w:rPr>
                <w:rFonts w:hint="eastAsia"/>
                <w:color w:val="000000"/>
                <w:sz w:val="21"/>
                <w:szCs w:val="21"/>
                <w:vertAlign w:val="baseline"/>
                <w:lang w:eastAsia="zh-CN"/>
              </w:rPr>
              <w:t>绿化</w:t>
            </w:r>
          </w:p>
        </w:tc>
      </w:tr>
    </w:tbl>
    <w:p>
      <w:pPr>
        <w:pStyle w:val="27"/>
        <w:adjustRightInd w:val="0"/>
        <w:snapToGrid w:val="0"/>
        <w:spacing w:before="0" w:beforeAutospacing="0" w:after="0" w:afterAutospacing="0"/>
        <w:jc w:val="both"/>
        <w:outlineLvl w:val="0"/>
        <w:rPr>
          <w:rFonts w:hint="eastAsia"/>
          <w:lang w:eastAsia="zh-CN"/>
        </w:rPr>
      </w:pPr>
    </w:p>
    <w:sectPr>
      <w:footerReference r:id="rId18" w:type="default"/>
      <w:pgSz w:w="11906" w:h="16838"/>
      <w:pgMar w:top="1440" w:right="1800" w:bottom="1440" w:left="1800" w:header="708" w:footer="708" w:gutter="0"/>
      <w:pgNumType w:fmt="decimal"/>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JeB4AVAgAAFQQAAA4AAABkcnMvZTJvRG9jLnhtbK1Ty47TMBTdI/EP&#10;lvc0aUeMSt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hRDOFHZ2+fzv9+HX6+ZVAB4Ba62fw21h4hu6t6bDoQe+hjHN3&#10;lVPxxkQEdkB9vMArukB4DJpOptMcJg7b8ED+7DHcOh/eCaNIFArqsL8EKzusfehdB5dYTZtVI2Xa&#10;odSkLej11e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JeB4AVAgAAFQQAAA4AAAAAAAAA&#10;AQAgAAAAHwEAAGRycy9lMm9Eb2MueG1sUEsFBgAAAAAGAAYAWQEAAKYFAAAAAA==&#10;">
              <v:fill on="f" focussize="0,0"/>
              <v:stroke on="f" weight="0.5pt"/>
              <v:imagedata o:title=""/>
              <o:lock v:ext="edit" aspectratio="f"/>
              <v:textbox inset="0mm,0mm,0mm,0mm" style="mso-fit-shape-to-text:t;">
                <w:txbxContent>
                  <w:p>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&#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BEkaiw4CAAAHBAAADgAAAAAAAAABACAAAAAf&#10;AQAAZHJzL2Uyb0RvYy54bWxQSwUGAAAAAAYABgBZAQAAnwUAAAAA&#10;">
              <v:fill on="f" focussize="0,0"/>
              <v:stroke on="f" weight="0.5pt"/>
              <v:imagedata o:title=""/>
              <o:lock v:ext="edit" aspectratio="f"/>
              <v:textbox inset="0mm,0mm,0mm,0mm" style="mso-fit-shape-to-text:t;">
                <w:txbxContent>
                  <w:p>
                    <w:pPr>
                      <w:pStyle w:val="10"/>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after="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QmRUUAgAAEwQAAA4AAABkcnMvZTJvRG9jLnhtbK1TTY7TMBTeI3EH&#10;y3uatKi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9fT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XtCZFRQCAAATBAAADgAAAAAAAAAB&#10;ACAAAAAfAQAAZHJzL2Uyb0RvYy54bWxQSwUGAAAAAAYABgBZAQAApQUAAAAA&#10;">
              <v:fill on="f" focussize="0,0"/>
              <v:stroke on="f" weight="0.5pt"/>
              <v:imagedata o:title=""/>
              <o:lock v:ext="edit" aspectratio="f"/>
              <v:textbox inset="0mm,0mm,0mm,0mm" style="mso-fit-shape-to-text:t;">
                <w:txbxContent>
                  <w:p>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1"/>
      </w:pBdr>
      <w:spacing w:line="240" w:lineRule="auto"/>
      <w:ind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ACF1CC"/>
    <w:multiLevelType w:val="singleLevel"/>
    <w:tmpl w:val="8BACF1CC"/>
    <w:lvl w:ilvl="0" w:tentative="0">
      <w:start w:val="2"/>
      <w:numFmt w:val="decimal"/>
      <w:suff w:val="nothing"/>
      <w:lvlText w:val="（%1）"/>
      <w:lvlJc w:val="left"/>
    </w:lvl>
  </w:abstractNum>
  <w:abstractNum w:abstractNumId="1">
    <w:nsid w:val="8E5A2A1F"/>
    <w:multiLevelType w:val="singleLevel"/>
    <w:tmpl w:val="8E5A2A1F"/>
    <w:lvl w:ilvl="0" w:tentative="0">
      <w:start w:val="1"/>
      <w:numFmt w:val="chineseCounting"/>
      <w:suff w:val="nothing"/>
      <w:lvlText w:val="%1、"/>
      <w:lvlJc w:val="left"/>
      <w:rPr>
        <w:rFonts w:hint="eastAsia"/>
      </w:rPr>
    </w:lvl>
  </w:abstractNum>
  <w:abstractNum w:abstractNumId="2">
    <w:nsid w:val="C45B4CDE"/>
    <w:multiLevelType w:val="singleLevel"/>
    <w:tmpl w:val="C45B4CDE"/>
    <w:lvl w:ilvl="0" w:tentative="0">
      <w:start w:val="2"/>
      <w:numFmt w:val="decimal"/>
      <w:suff w:val="nothing"/>
      <w:lvlText w:val="%1、"/>
      <w:lvlJc w:val="left"/>
    </w:lvl>
  </w:abstractNum>
  <w:abstractNum w:abstractNumId="3">
    <w:nsid w:val="09E84E54"/>
    <w:multiLevelType w:val="singleLevel"/>
    <w:tmpl w:val="09E84E54"/>
    <w:lvl w:ilvl="0" w:tentative="0">
      <w:start w:val="1"/>
      <w:numFmt w:val="decimal"/>
      <w:suff w:val="nothing"/>
      <w:lvlText w:val="%1、"/>
      <w:lvlJc w:val="left"/>
    </w:lvl>
  </w:abstractNum>
  <w:abstractNum w:abstractNumId="4">
    <w:nsid w:val="0A862F98"/>
    <w:multiLevelType w:val="singleLevel"/>
    <w:tmpl w:val="0A862F98"/>
    <w:lvl w:ilvl="0" w:tentative="0">
      <w:start w:val="1"/>
      <w:numFmt w:val="decimal"/>
      <w:suff w:val="nothing"/>
      <w:lvlText w:val="（%1）"/>
      <w:lvlJc w:val="left"/>
    </w:lvl>
  </w:abstractNum>
  <w:abstractNum w:abstractNumId="5">
    <w:nsid w:val="273631AE"/>
    <w:multiLevelType w:val="singleLevel"/>
    <w:tmpl w:val="273631AE"/>
    <w:lvl w:ilvl="0" w:tentative="0">
      <w:start w:val="2"/>
      <w:numFmt w:val="decimal"/>
      <w:suff w:val="nothing"/>
      <w:lvlText w:val="%1、"/>
      <w:lvlJc w:val="left"/>
    </w:lvl>
  </w:abstractNum>
  <w:abstractNum w:abstractNumId="6">
    <w:nsid w:val="718784B0"/>
    <w:multiLevelType w:val="singleLevel"/>
    <w:tmpl w:val="718784B0"/>
    <w:lvl w:ilvl="0" w:tentative="0">
      <w:start w:val="1"/>
      <w:numFmt w:val="chineseCounting"/>
      <w:suff w:val="nothing"/>
      <w:lvlText w:val="%1、"/>
      <w:lvlJc w:val="left"/>
      <w:rPr>
        <w:rFonts w:hint="eastAsia"/>
      </w:rPr>
    </w:lvl>
  </w:abstractNum>
  <w:abstractNum w:abstractNumId="7">
    <w:nsid w:val="7CF834AF"/>
    <w:multiLevelType w:val="singleLevel"/>
    <w:tmpl w:val="7CF834AF"/>
    <w:lvl w:ilvl="0" w:tentative="0">
      <w:start w:val="1"/>
      <w:numFmt w:val="decimal"/>
      <w:suff w:val="nothing"/>
      <w:lvlText w:val="%1、"/>
      <w:lvlJc w:val="left"/>
    </w:lvl>
  </w:abstractNum>
  <w:num w:numId="1">
    <w:abstractNumId w:val="7"/>
  </w:num>
  <w:num w:numId="2">
    <w:abstractNumId w:val="2"/>
  </w:num>
  <w:num w:numId="3">
    <w:abstractNumId w:val="6"/>
  </w:num>
  <w:num w:numId="4">
    <w:abstractNumId w:val="4"/>
  </w:num>
  <w:num w:numId="5">
    <w:abstractNumId w:val="0"/>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0"/>
  <w:drawingGridVerticalSpacing w:val="0"/>
  <w:displayHorizontalDrawingGridEvery w:val="1"/>
  <w:displayVerticalDrawingGridEvery w:val="1"/>
  <w:doNotShadeFormData w:val="1"/>
  <w:noPunctuationKerning w:val="1"/>
  <w:characterSpacingControl w:val="doNotCompress"/>
  <w:doNotValidateAgainstSchema/>
  <w:doNotDemarcateInvalidXml/>
  <w:compat>
    <w:spaceForUL/>
    <w:doNotLeaveBackslashAlone/>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F3AC3"/>
    <w:rsid w:val="00172A27"/>
    <w:rsid w:val="0019731A"/>
    <w:rsid w:val="001E33FE"/>
    <w:rsid w:val="00327D45"/>
    <w:rsid w:val="004D0E8F"/>
    <w:rsid w:val="006025EC"/>
    <w:rsid w:val="006B3E91"/>
    <w:rsid w:val="009F6CE7"/>
    <w:rsid w:val="00CA3C54"/>
    <w:rsid w:val="00CE2FDC"/>
    <w:rsid w:val="00F670F4"/>
    <w:rsid w:val="016545E6"/>
    <w:rsid w:val="021B0159"/>
    <w:rsid w:val="02820BA0"/>
    <w:rsid w:val="02BF5F95"/>
    <w:rsid w:val="038058DA"/>
    <w:rsid w:val="03FE6F30"/>
    <w:rsid w:val="045D7DCC"/>
    <w:rsid w:val="04F102CB"/>
    <w:rsid w:val="051F5625"/>
    <w:rsid w:val="059A2231"/>
    <w:rsid w:val="06587419"/>
    <w:rsid w:val="0809793C"/>
    <w:rsid w:val="08394E12"/>
    <w:rsid w:val="084D438B"/>
    <w:rsid w:val="08BD37F2"/>
    <w:rsid w:val="08D51DD1"/>
    <w:rsid w:val="09E634B1"/>
    <w:rsid w:val="0A1C43E3"/>
    <w:rsid w:val="0AFC6A11"/>
    <w:rsid w:val="0BB11F56"/>
    <w:rsid w:val="0C463C11"/>
    <w:rsid w:val="0C87697C"/>
    <w:rsid w:val="0CE50ED3"/>
    <w:rsid w:val="0D5E1A79"/>
    <w:rsid w:val="0DFC55A4"/>
    <w:rsid w:val="0E5A7803"/>
    <w:rsid w:val="0E5F0B06"/>
    <w:rsid w:val="100A04C0"/>
    <w:rsid w:val="101A7CB1"/>
    <w:rsid w:val="10C96775"/>
    <w:rsid w:val="10DF4CE4"/>
    <w:rsid w:val="13D33407"/>
    <w:rsid w:val="15444466"/>
    <w:rsid w:val="159C4E11"/>
    <w:rsid w:val="1686300C"/>
    <w:rsid w:val="17E10FA9"/>
    <w:rsid w:val="17EB503D"/>
    <w:rsid w:val="1838006B"/>
    <w:rsid w:val="18907F9E"/>
    <w:rsid w:val="18B2031E"/>
    <w:rsid w:val="18EC7ED4"/>
    <w:rsid w:val="19607FB7"/>
    <w:rsid w:val="1A8844C3"/>
    <w:rsid w:val="1AFC1634"/>
    <w:rsid w:val="1B6B765C"/>
    <w:rsid w:val="1BF250C0"/>
    <w:rsid w:val="1C970B1D"/>
    <w:rsid w:val="1CCC5782"/>
    <w:rsid w:val="1D1B4B69"/>
    <w:rsid w:val="1DE954E0"/>
    <w:rsid w:val="1E1B1AE7"/>
    <w:rsid w:val="1E8369DC"/>
    <w:rsid w:val="1E8C0414"/>
    <w:rsid w:val="1E8F23AD"/>
    <w:rsid w:val="1E941315"/>
    <w:rsid w:val="1EA611AB"/>
    <w:rsid w:val="1F0473EA"/>
    <w:rsid w:val="1F296D54"/>
    <w:rsid w:val="20B54452"/>
    <w:rsid w:val="20D941C6"/>
    <w:rsid w:val="21E54868"/>
    <w:rsid w:val="23117C87"/>
    <w:rsid w:val="23596355"/>
    <w:rsid w:val="236553FE"/>
    <w:rsid w:val="242D5CDD"/>
    <w:rsid w:val="25D707D3"/>
    <w:rsid w:val="274A750F"/>
    <w:rsid w:val="278F323A"/>
    <w:rsid w:val="27933EBE"/>
    <w:rsid w:val="27DE66F9"/>
    <w:rsid w:val="283C4D84"/>
    <w:rsid w:val="28997268"/>
    <w:rsid w:val="28EF3461"/>
    <w:rsid w:val="29CB08E4"/>
    <w:rsid w:val="2B1D10B2"/>
    <w:rsid w:val="2B260D00"/>
    <w:rsid w:val="2B477307"/>
    <w:rsid w:val="2B653E44"/>
    <w:rsid w:val="2BB54876"/>
    <w:rsid w:val="2C2A5B52"/>
    <w:rsid w:val="2DDD7F92"/>
    <w:rsid w:val="2EF9797E"/>
    <w:rsid w:val="2F8233AA"/>
    <w:rsid w:val="2FD5752E"/>
    <w:rsid w:val="2FD956F1"/>
    <w:rsid w:val="2FFD765F"/>
    <w:rsid w:val="301123F3"/>
    <w:rsid w:val="30B46FBE"/>
    <w:rsid w:val="31447CD4"/>
    <w:rsid w:val="319E745B"/>
    <w:rsid w:val="32AF42B7"/>
    <w:rsid w:val="32B3447F"/>
    <w:rsid w:val="32C277F2"/>
    <w:rsid w:val="32FA486B"/>
    <w:rsid w:val="338829E6"/>
    <w:rsid w:val="338C724A"/>
    <w:rsid w:val="3476273E"/>
    <w:rsid w:val="354E378E"/>
    <w:rsid w:val="35D76464"/>
    <w:rsid w:val="361675A0"/>
    <w:rsid w:val="36462510"/>
    <w:rsid w:val="36687A51"/>
    <w:rsid w:val="36B42C65"/>
    <w:rsid w:val="36BD4CF8"/>
    <w:rsid w:val="36F12529"/>
    <w:rsid w:val="37E67429"/>
    <w:rsid w:val="37E915C9"/>
    <w:rsid w:val="38066DBF"/>
    <w:rsid w:val="38962B82"/>
    <w:rsid w:val="38C144A0"/>
    <w:rsid w:val="38CA28FA"/>
    <w:rsid w:val="391967AF"/>
    <w:rsid w:val="39495B55"/>
    <w:rsid w:val="3990055B"/>
    <w:rsid w:val="3A064DAF"/>
    <w:rsid w:val="3A566030"/>
    <w:rsid w:val="3AA36A18"/>
    <w:rsid w:val="3ACC475D"/>
    <w:rsid w:val="3ACD3AFA"/>
    <w:rsid w:val="3B232C23"/>
    <w:rsid w:val="3BC85848"/>
    <w:rsid w:val="3BD46E11"/>
    <w:rsid w:val="3BEE112B"/>
    <w:rsid w:val="3BF5793F"/>
    <w:rsid w:val="3C5949EC"/>
    <w:rsid w:val="3D2E6624"/>
    <w:rsid w:val="3EC40B92"/>
    <w:rsid w:val="3F435676"/>
    <w:rsid w:val="3FD85C39"/>
    <w:rsid w:val="40246907"/>
    <w:rsid w:val="403842D6"/>
    <w:rsid w:val="419859F5"/>
    <w:rsid w:val="42C80083"/>
    <w:rsid w:val="435049EC"/>
    <w:rsid w:val="436B7FDA"/>
    <w:rsid w:val="43ED186C"/>
    <w:rsid w:val="44736E4E"/>
    <w:rsid w:val="45007DF2"/>
    <w:rsid w:val="45326B61"/>
    <w:rsid w:val="47840F46"/>
    <w:rsid w:val="48BF6D32"/>
    <w:rsid w:val="491847E1"/>
    <w:rsid w:val="498C2265"/>
    <w:rsid w:val="4B923950"/>
    <w:rsid w:val="4BF356EF"/>
    <w:rsid w:val="4C023B58"/>
    <w:rsid w:val="4C3C1D83"/>
    <w:rsid w:val="4C5749F6"/>
    <w:rsid w:val="4CDA7DB0"/>
    <w:rsid w:val="4D412A85"/>
    <w:rsid w:val="4D4972C6"/>
    <w:rsid w:val="4D9557B0"/>
    <w:rsid w:val="4DE3340E"/>
    <w:rsid w:val="4E195FDB"/>
    <w:rsid w:val="4F3964ED"/>
    <w:rsid w:val="505F1424"/>
    <w:rsid w:val="50711684"/>
    <w:rsid w:val="51190EA2"/>
    <w:rsid w:val="52161612"/>
    <w:rsid w:val="52F23B4F"/>
    <w:rsid w:val="52F4481C"/>
    <w:rsid w:val="53290E03"/>
    <w:rsid w:val="53C655D0"/>
    <w:rsid w:val="54581983"/>
    <w:rsid w:val="551D64E4"/>
    <w:rsid w:val="56E02E7D"/>
    <w:rsid w:val="57BA2D59"/>
    <w:rsid w:val="57C8093F"/>
    <w:rsid w:val="57EA6C55"/>
    <w:rsid w:val="580A5AA5"/>
    <w:rsid w:val="58593F55"/>
    <w:rsid w:val="586D5A44"/>
    <w:rsid w:val="587479E0"/>
    <w:rsid w:val="59105475"/>
    <w:rsid w:val="5915103F"/>
    <w:rsid w:val="59263592"/>
    <w:rsid w:val="59A13AA7"/>
    <w:rsid w:val="59EC7F52"/>
    <w:rsid w:val="5D0E7D1E"/>
    <w:rsid w:val="5D466F70"/>
    <w:rsid w:val="5D493C55"/>
    <w:rsid w:val="5D640F1A"/>
    <w:rsid w:val="5D886E41"/>
    <w:rsid w:val="5DB30919"/>
    <w:rsid w:val="5F1A405B"/>
    <w:rsid w:val="5F376B17"/>
    <w:rsid w:val="5F840565"/>
    <w:rsid w:val="630E558E"/>
    <w:rsid w:val="631A0A07"/>
    <w:rsid w:val="64DE2D2A"/>
    <w:rsid w:val="65B67C79"/>
    <w:rsid w:val="65BB3BED"/>
    <w:rsid w:val="65FE3DE4"/>
    <w:rsid w:val="663223ED"/>
    <w:rsid w:val="66B21FE1"/>
    <w:rsid w:val="67A32ABD"/>
    <w:rsid w:val="68515F57"/>
    <w:rsid w:val="687E1788"/>
    <w:rsid w:val="68EA72B3"/>
    <w:rsid w:val="693F7EF2"/>
    <w:rsid w:val="6A287E2E"/>
    <w:rsid w:val="6AF84F3D"/>
    <w:rsid w:val="6C184445"/>
    <w:rsid w:val="6C8F7402"/>
    <w:rsid w:val="6CFB365C"/>
    <w:rsid w:val="6F0D2611"/>
    <w:rsid w:val="6F6A42A5"/>
    <w:rsid w:val="6F891600"/>
    <w:rsid w:val="70252240"/>
    <w:rsid w:val="708B61AB"/>
    <w:rsid w:val="708E6BEC"/>
    <w:rsid w:val="70EE23AA"/>
    <w:rsid w:val="70F41D70"/>
    <w:rsid w:val="71CE576B"/>
    <w:rsid w:val="71F2121C"/>
    <w:rsid w:val="71F80FEE"/>
    <w:rsid w:val="72BD0C96"/>
    <w:rsid w:val="73875ECA"/>
    <w:rsid w:val="73B537DC"/>
    <w:rsid w:val="74672148"/>
    <w:rsid w:val="747247FD"/>
    <w:rsid w:val="7477294D"/>
    <w:rsid w:val="74AD5B84"/>
    <w:rsid w:val="7539371F"/>
    <w:rsid w:val="75445367"/>
    <w:rsid w:val="77291625"/>
    <w:rsid w:val="774109DA"/>
    <w:rsid w:val="77BC0D85"/>
    <w:rsid w:val="78813F21"/>
    <w:rsid w:val="79C15690"/>
    <w:rsid w:val="79C52A78"/>
    <w:rsid w:val="7A466C28"/>
    <w:rsid w:val="7B066B98"/>
    <w:rsid w:val="7B1C47E1"/>
    <w:rsid w:val="7B965C9C"/>
    <w:rsid w:val="7BAA527A"/>
    <w:rsid w:val="7BFE2450"/>
    <w:rsid w:val="7D305376"/>
    <w:rsid w:val="7D732924"/>
    <w:rsid w:val="7DAA4B8A"/>
    <w:rsid w:val="7DF16366"/>
    <w:rsid w:val="7ECD4CB2"/>
    <w:rsid w:val="7EEC5047"/>
    <w:rsid w:val="7F2268C7"/>
    <w:rsid w:val="7F7E788C"/>
    <w:rsid w:val="7FB159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imes New Roman"/>
      <w:sz w:val="22"/>
      <w:szCs w:val="22"/>
      <w:lang w:val="en-US" w:eastAsia="zh-CN" w:bidi="ar-SA"/>
    </w:rPr>
  </w:style>
  <w:style w:type="paragraph" w:styleId="3">
    <w:name w:val="heading 1"/>
    <w:basedOn w:val="1"/>
    <w:next w:val="1"/>
    <w:qFormat/>
    <w:uiPriority w:val="0"/>
    <w:pPr>
      <w:keepNext/>
      <w:keepLines/>
      <w:spacing w:line="576" w:lineRule="auto"/>
      <w:ind w:firstLine="0" w:firstLineChars="0"/>
      <w:jc w:val="left"/>
      <w:outlineLvl w:val="0"/>
    </w:pPr>
    <w:rPr>
      <w:b/>
      <w:kern w:val="44"/>
      <w:sz w:val="32"/>
      <w:szCs w:val="20"/>
    </w:rPr>
  </w:style>
  <w:style w:type="paragraph" w:styleId="4">
    <w:name w:val="heading 2"/>
    <w:basedOn w:val="1"/>
    <w:next w:val="1"/>
    <w:link w:val="33"/>
    <w:qFormat/>
    <w:uiPriority w:val="0"/>
    <w:pPr>
      <w:keepNext/>
      <w:keepLines/>
      <w:widowControl w:val="0"/>
      <w:adjustRightInd/>
      <w:snapToGrid/>
      <w:spacing w:after="0" w:line="360" w:lineRule="exact"/>
      <w:jc w:val="both"/>
      <w:outlineLvl w:val="1"/>
    </w:pPr>
    <w:rPr>
      <w:rFonts w:ascii="Times New Roman" w:hAnsi="Times New Roman" w:eastAsia="宋体"/>
      <w:bCs/>
      <w:kern w:val="2"/>
      <w:sz w:val="21"/>
      <w:szCs w:val="32"/>
    </w:rPr>
  </w:style>
  <w:style w:type="character" w:default="1" w:styleId="14">
    <w:name w:val="Default Paragraph Font"/>
    <w:semiHidden/>
    <w:unhideWhenUsed/>
    <w:qFormat/>
    <w:uiPriority w:val="1"/>
  </w:style>
  <w:style w:type="table" w:default="1" w:styleId="18">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5">
    <w:name w:val="annotation subject"/>
    <w:basedOn w:val="6"/>
    <w:next w:val="6"/>
    <w:link w:val="45"/>
    <w:qFormat/>
    <w:uiPriority w:val="0"/>
    <w:rPr>
      <w:b/>
      <w:bCs/>
    </w:rPr>
  </w:style>
  <w:style w:type="paragraph" w:styleId="6">
    <w:name w:val="annotation text"/>
    <w:basedOn w:val="1"/>
    <w:link w:val="36"/>
    <w:qFormat/>
    <w:uiPriority w:val="0"/>
  </w:style>
  <w:style w:type="paragraph" w:styleId="7">
    <w:name w:val="Body Text First Indent"/>
    <w:basedOn w:val="8"/>
    <w:qFormat/>
    <w:uiPriority w:val="0"/>
    <w:pPr>
      <w:ind w:firstLine="420" w:firstLineChars="100"/>
    </w:pPr>
  </w:style>
  <w:style w:type="paragraph" w:styleId="8">
    <w:name w:val="Body Text"/>
    <w:basedOn w:val="1"/>
    <w:qFormat/>
    <w:uiPriority w:val="0"/>
    <w:pPr>
      <w:spacing w:after="120"/>
    </w:pPr>
  </w:style>
  <w:style w:type="paragraph" w:styleId="9">
    <w:name w:val="Balloon Text"/>
    <w:basedOn w:val="1"/>
    <w:link w:val="44"/>
    <w:qFormat/>
    <w:uiPriority w:val="0"/>
    <w:pPr>
      <w:spacing w:after="0"/>
    </w:pPr>
    <w:rPr>
      <w:sz w:val="18"/>
      <w:szCs w:val="18"/>
    </w:rPr>
  </w:style>
  <w:style w:type="paragraph" w:styleId="10">
    <w:name w:val="footer"/>
    <w:basedOn w:val="1"/>
    <w:link w:val="43"/>
    <w:qFormat/>
    <w:uiPriority w:val="0"/>
    <w:pPr>
      <w:tabs>
        <w:tab w:val="center" w:pos="4153"/>
        <w:tab w:val="right" w:pos="8306"/>
      </w:tabs>
    </w:pPr>
    <w:rPr>
      <w:sz w:val="18"/>
      <w:szCs w:val="18"/>
    </w:rPr>
  </w:style>
  <w:style w:type="paragraph" w:styleId="11">
    <w:name w:val="header"/>
    <w:basedOn w:val="1"/>
    <w:link w:val="39"/>
    <w:qFormat/>
    <w:uiPriority w:val="0"/>
    <w:pPr>
      <w:pBdr>
        <w:bottom w:val="single" w:color="auto" w:sz="6" w:space="1"/>
      </w:pBdr>
      <w:tabs>
        <w:tab w:val="center" w:pos="4153"/>
        <w:tab w:val="right" w:pos="8306"/>
      </w:tabs>
      <w:jc w:val="center"/>
    </w:pPr>
    <w:rPr>
      <w:sz w:val="18"/>
      <w:szCs w:val="18"/>
    </w:rPr>
  </w:style>
  <w:style w:type="paragraph" w:styleId="12">
    <w:name w:val="toc 1"/>
    <w:basedOn w:val="1"/>
    <w:next w:val="1"/>
    <w:qFormat/>
    <w:uiPriority w:val="0"/>
  </w:style>
  <w:style w:type="paragraph" w:styleId="13">
    <w:name w:val="Normal (Web)"/>
    <w:basedOn w:val="1"/>
    <w:qFormat/>
    <w:uiPriority w:val="0"/>
    <w:pPr>
      <w:spacing w:beforeAutospacing="1" w:afterAutospacing="1"/>
      <w:jc w:val="left"/>
    </w:pPr>
    <w:rPr>
      <w:rFonts w:cs="Times New Roman"/>
      <w:kern w:val="0"/>
      <w:sz w:val="24"/>
    </w:rPr>
  </w:style>
  <w:style w:type="character" w:styleId="15">
    <w:name w:val="Strong"/>
    <w:qFormat/>
    <w:uiPriority w:val="0"/>
    <w:rPr>
      <w:b/>
      <w:bCs/>
    </w:rPr>
  </w:style>
  <w:style w:type="character" w:styleId="16">
    <w:name w:val="page number"/>
    <w:basedOn w:val="14"/>
    <w:qFormat/>
    <w:uiPriority w:val="0"/>
  </w:style>
  <w:style w:type="character" w:styleId="17">
    <w:name w:val="annotation reference"/>
    <w:qFormat/>
    <w:uiPriority w:val="0"/>
    <w:rPr>
      <w:sz w:val="21"/>
      <w:szCs w:val="21"/>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0">
    <w:name w:val="正文(首行缩进)"/>
    <w:basedOn w:val="7"/>
    <w:next w:val="7"/>
    <w:qFormat/>
    <w:uiPriority w:val="0"/>
    <w:pPr>
      <w:spacing w:line="360" w:lineRule="auto"/>
      <w:ind w:firstLine="200" w:firstLineChars="200"/>
    </w:pPr>
    <w:rPr>
      <w:rFonts w:ascii="宋体" w:hAnsi="宋体" w:cs="宋体"/>
      <w:snapToGrid w:val="0"/>
      <w:sz w:val="24"/>
    </w:rPr>
  </w:style>
  <w:style w:type="paragraph" w:customStyle="1" w:styleId="21">
    <w:name w:val="文档结构图1"/>
    <w:basedOn w:val="1"/>
    <w:link w:val="32"/>
    <w:qFormat/>
    <w:uiPriority w:val="0"/>
    <w:rPr>
      <w:rFonts w:ascii="宋体" w:eastAsia="宋体"/>
      <w:sz w:val="18"/>
      <w:szCs w:val="18"/>
    </w:rPr>
  </w:style>
  <w:style w:type="paragraph" w:customStyle="1" w:styleId="22">
    <w:name w:val="正文文本缩进1"/>
    <w:basedOn w:val="1"/>
    <w:link w:val="40"/>
    <w:qFormat/>
    <w:uiPriority w:val="0"/>
    <w:pPr>
      <w:widowControl w:val="0"/>
      <w:snapToGrid/>
      <w:spacing w:after="0" w:line="233" w:lineRule="auto"/>
      <w:ind w:firstLine="570"/>
      <w:jc w:val="both"/>
      <w:textAlignment w:val="baseline"/>
    </w:pPr>
    <w:rPr>
      <w:rFonts w:ascii="仿宋_GB2312" w:hAnsi="Times New Roman" w:eastAsia="仿宋_GB2312"/>
      <w:sz w:val="28"/>
      <w:szCs w:val="20"/>
    </w:rPr>
  </w:style>
  <w:style w:type="paragraph" w:customStyle="1" w:styleId="23">
    <w:name w:val="正文文本缩进 21"/>
    <w:basedOn w:val="1"/>
    <w:link w:val="34"/>
    <w:qFormat/>
    <w:uiPriority w:val="0"/>
    <w:pPr>
      <w:widowControl w:val="0"/>
      <w:snapToGrid/>
      <w:spacing w:after="0" w:line="312" w:lineRule="atLeast"/>
      <w:ind w:firstLine="570"/>
      <w:jc w:val="distribute"/>
      <w:textAlignment w:val="baseline"/>
    </w:pPr>
    <w:rPr>
      <w:rFonts w:ascii="Times New Roman" w:hAnsi="Times New Roman" w:eastAsia="仿宋_GB2312"/>
      <w:sz w:val="28"/>
      <w:szCs w:val="20"/>
    </w:rPr>
  </w:style>
  <w:style w:type="paragraph" w:customStyle="1" w:styleId="24">
    <w:name w:val="日期1"/>
    <w:basedOn w:val="1"/>
    <w:next w:val="1"/>
    <w:link w:val="37"/>
    <w:qFormat/>
    <w:uiPriority w:val="0"/>
    <w:pPr>
      <w:ind w:left="100" w:leftChars="2500"/>
    </w:pPr>
  </w:style>
  <w:style w:type="paragraph" w:customStyle="1" w:styleId="25">
    <w:name w:val="纯文本1"/>
    <w:basedOn w:val="1"/>
    <w:link w:val="35"/>
    <w:qFormat/>
    <w:uiPriority w:val="0"/>
    <w:pPr>
      <w:widowControl w:val="0"/>
      <w:adjustRightInd/>
      <w:snapToGrid/>
      <w:spacing w:after="0"/>
      <w:jc w:val="both"/>
    </w:pPr>
    <w:rPr>
      <w:rFonts w:ascii="宋体" w:hAnsi="Courier New" w:eastAsia="宋体"/>
      <w:kern w:val="2"/>
      <w:sz w:val="21"/>
      <w:szCs w:val="20"/>
    </w:rPr>
  </w:style>
  <w:style w:type="paragraph" w:customStyle="1" w:styleId="26">
    <w:name w:val="列出段落1"/>
    <w:basedOn w:val="1"/>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27">
    <w:name w:val="普通(网站)1"/>
    <w:basedOn w:val="1"/>
    <w:qFormat/>
    <w:uiPriority w:val="0"/>
    <w:pPr>
      <w:adjustRightInd/>
      <w:snapToGrid/>
      <w:spacing w:before="100" w:beforeAutospacing="1" w:after="100" w:afterAutospacing="1"/>
    </w:pPr>
    <w:rPr>
      <w:rFonts w:ascii="宋体" w:hAnsi="宋体" w:eastAsia="宋体" w:cs="宋体"/>
      <w:sz w:val="24"/>
      <w:szCs w:val="24"/>
    </w:rPr>
  </w:style>
  <w:style w:type="paragraph" w:customStyle="1" w:styleId="28">
    <w:name w:val="批注主题1"/>
    <w:basedOn w:val="6"/>
    <w:next w:val="6"/>
    <w:link w:val="38"/>
    <w:qFormat/>
    <w:uiPriority w:val="0"/>
    <w:rPr>
      <w:b/>
      <w:bCs/>
    </w:rPr>
  </w:style>
  <w:style w:type="paragraph" w:customStyle="1" w:styleId="29">
    <w:name w:val="列出段落2"/>
    <w:basedOn w:val="1"/>
    <w:qFormat/>
    <w:uiPriority w:val="0"/>
    <w:pPr>
      <w:widowControl w:val="0"/>
      <w:adjustRightInd/>
      <w:snapToGrid/>
      <w:spacing w:after="0"/>
      <w:ind w:firstLine="420" w:firstLineChars="200"/>
      <w:jc w:val="both"/>
    </w:pPr>
    <w:rPr>
      <w:rFonts w:ascii="Calibri" w:hAnsi="Calibri" w:eastAsia="宋体"/>
      <w:kern w:val="2"/>
      <w:sz w:val="21"/>
    </w:rPr>
  </w:style>
  <w:style w:type="paragraph" w:customStyle="1" w:styleId="30">
    <w:name w:val="普通(网站)11"/>
    <w:basedOn w:val="1"/>
    <w:qFormat/>
    <w:uiPriority w:val="0"/>
    <w:pPr>
      <w:adjustRightInd/>
      <w:snapToGrid/>
      <w:spacing w:before="100" w:beforeAutospacing="1" w:after="100" w:afterAutospacing="1"/>
    </w:pPr>
    <w:rPr>
      <w:rFonts w:hint="eastAsia" w:ascii="宋体" w:hAnsi="宋体" w:eastAsia="宋体"/>
      <w:sz w:val="24"/>
    </w:rPr>
  </w:style>
  <w:style w:type="character" w:customStyle="1" w:styleId="31">
    <w:name w:val="批注引用1"/>
    <w:qFormat/>
    <w:uiPriority w:val="0"/>
    <w:rPr>
      <w:sz w:val="21"/>
      <w:szCs w:val="21"/>
    </w:rPr>
  </w:style>
  <w:style w:type="character" w:customStyle="1" w:styleId="32">
    <w:name w:val="文档结构图 Char"/>
    <w:link w:val="21"/>
    <w:qFormat/>
    <w:uiPriority w:val="0"/>
    <w:rPr>
      <w:rFonts w:ascii="宋体" w:hAnsi="Tahoma" w:eastAsia="宋体"/>
      <w:sz w:val="18"/>
      <w:szCs w:val="18"/>
    </w:rPr>
  </w:style>
  <w:style w:type="character" w:customStyle="1" w:styleId="33">
    <w:name w:val="标题 2 Char"/>
    <w:link w:val="4"/>
    <w:qFormat/>
    <w:uiPriority w:val="0"/>
    <w:rPr>
      <w:rFonts w:ascii="Times New Roman" w:hAnsi="Times New Roman" w:eastAsia="宋体" w:cs="Times New Roman"/>
      <w:bCs/>
      <w:kern w:val="2"/>
      <w:sz w:val="21"/>
      <w:szCs w:val="32"/>
    </w:rPr>
  </w:style>
  <w:style w:type="character" w:customStyle="1" w:styleId="34">
    <w:name w:val="正文文本缩进 2 Char"/>
    <w:link w:val="23"/>
    <w:qFormat/>
    <w:uiPriority w:val="0"/>
    <w:rPr>
      <w:rFonts w:ascii="Times New Roman" w:hAnsi="Times New Roman" w:eastAsia="仿宋_GB2312" w:cs="Times New Roman"/>
      <w:sz w:val="28"/>
      <w:szCs w:val="20"/>
    </w:rPr>
  </w:style>
  <w:style w:type="character" w:customStyle="1" w:styleId="35">
    <w:name w:val="纯文本 Char1"/>
    <w:link w:val="25"/>
    <w:qFormat/>
    <w:uiPriority w:val="0"/>
    <w:rPr>
      <w:rFonts w:ascii="宋体" w:hAnsi="Courier New" w:eastAsia="宋体" w:cs="Times New Roman"/>
      <w:kern w:val="2"/>
      <w:sz w:val="21"/>
      <w:szCs w:val="20"/>
    </w:rPr>
  </w:style>
  <w:style w:type="character" w:customStyle="1" w:styleId="36">
    <w:name w:val="批注文字 Char"/>
    <w:link w:val="6"/>
    <w:qFormat/>
    <w:uiPriority w:val="0"/>
    <w:rPr>
      <w:rFonts w:ascii="Tahoma" w:hAnsi="Tahoma"/>
    </w:rPr>
  </w:style>
  <w:style w:type="character" w:customStyle="1" w:styleId="37">
    <w:name w:val="日期 Char"/>
    <w:link w:val="24"/>
    <w:qFormat/>
    <w:uiPriority w:val="0"/>
    <w:rPr>
      <w:rFonts w:ascii="Tahoma" w:hAnsi="Tahoma"/>
    </w:rPr>
  </w:style>
  <w:style w:type="character" w:customStyle="1" w:styleId="38">
    <w:name w:val="批注主题 Char"/>
    <w:link w:val="28"/>
    <w:qFormat/>
    <w:uiPriority w:val="0"/>
    <w:rPr>
      <w:rFonts w:ascii="Tahoma" w:hAnsi="Tahoma"/>
      <w:b/>
      <w:bCs/>
    </w:rPr>
  </w:style>
  <w:style w:type="character" w:customStyle="1" w:styleId="39">
    <w:name w:val="页眉 Char"/>
    <w:link w:val="11"/>
    <w:qFormat/>
    <w:uiPriority w:val="0"/>
    <w:rPr>
      <w:rFonts w:ascii="Tahoma" w:hAnsi="Tahoma"/>
      <w:sz w:val="18"/>
      <w:szCs w:val="18"/>
    </w:rPr>
  </w:style>
  <w:style w:type="character" w:customStyle="1" w:styleId="40">
    <w:name w:val="正文文本缩进 Char"/>
    <w:link w:val="22"/>
    <w:qFormat/>
    <w:uiPriority w:val="0"/>
    <w:rPr>
      <w:rFonts w:ascii="仿宋_GB2312" w:hAnsi="Times New Roman" w:eastAsia="仿宋_GB2312" w:cs="Times New Roman"/>
      <w:sz w:val="28"/>
      <w:szCs w:val="20"/>
    </w:rPr>
  </w:style>
  <w:style w:type="character" w:customStyle="1" w:styleId="41">
    <w:name w:val="纯文本 Char"/>
    <w:qFormat/>
    <w:uiPriority w:val="0"/>
    <w:rPr>
      <w:rFonts w:ascii="宋体" w:hAnsi="Courier New" w:eastAsia="宋体" w:cs="Courier New"/>
      <w:sz w:val="21"/>
      <w:szCs w:val="21"/>
    </w:rPr>
  </w:style>
  <w:style w:type="character" w:customStyle="1" w:styleId="42">
    <w:name w:val="页码1"/>
    <w:basedOn w:val="14"/>
    <w:qFormat/>
    <w:uiPriority w:val="0"/>
  </w:style>
  <w:style w:type="character" w:customStyle="1" w:styleId="43">
    <w:name w:val="页脚 Char"/>
    <w:link w:val="10"/>
    <w:qFormat/>
    <w:uiPriority w:val="0"/>
    <w:rPr>
      <w:rFonts w:ascii="Tahoma" w:hAnsi="Tahoma"/>
      <w:sz w:val="18"/>
      <w:szCs w:val="18"/>
    </w:rPr>
  </w:style>
  <w:style w:type="character" w:customStyle="1" w:styleId="44">
    <w:name w:val="批注框文本 Char"/>
    <w:link w:val="9"/>
    <w:qFormat/>
    <w:uiPriority w:val="0"/>
    <w:rPr>
      <w:rFonts w:ascii="Tahoma" w:hAnsi="Tahoma"/>
      <w:sz w:val="18"/>
      <w:szCs w:val="18"/>
    </w:rPr>
  </w:style>
  <w:style w:type="character" w:customStyle="1" w:styleId="45">
    <w:name w:val="批注主题 Char1"/>
    <w:link w:val="5"/>
    <w:qFormat/>
    <w:uiPriority w:val="0"/>
    <w:rPr>
      <w:rFonts w:ascii="Tahoma" w:hAnsi="Tahoma" w:eastAsia="微软雅黑"/>
      <w:b/>
      <w:bCs/>
      <w:sz w:val="22"/>
      <w:szCs w:val="22"/>
    </w:rPr>
  </w:style>
  <w:style w:type="paragraph" w:customStyle="1" w:styleId="46">
    <w:name w:val="样式1"/>
    <w:basedOn w:val="1"/>
    <w:link w:val="50"/>
    <w:qFormat/>
    <w:uiPriority w:val="0"/>
    <w:pPr>
      <w:spacing w:line="540" w:lineRule="exact"/>
      <w:ind w:firstLine="1320" w:firstLineChars="200"/>
    </w:pPr>
    <w:rPr>
      <w:rFonts w:ascii="Times New Roman" w:hAnsi="Times New Roman"/>
      <w:szCs w:val="28"/>
    </w:rPr>
  </w:style>
  <w:style w:type="paragraph" w:customStyle="1" w:styleId="47">
    <w:name w:val="表"/>
    <w:basedOn w:val="1"/>
    <w:qFormat/>
    <w:uiPriority w:val="0"/>
    <w:pPr>
      <w:spacing w:line="240" w:lineRule="atLeast"/>
      <w:jc w:val="center"/>
    </w:pPr>
    <w:rPr>
      <w:rFonts w:ascii="Times New Roman" w:hAnsi="Times New Roman"/>
      <w:sz w:val="21"/>
    </w:rPr>
  </w:style>
  <w:style w:type="paragraph" w:customStyle="1" w:styleId="48">
    <w:name w:val="表标题"/>
    <w:basedOn w:val="1"/>
    <w:qFormat/>
    <w:uiPriority w:val="0"/>
    <w:pPr>
      <w:jc w:val="center"/>
    </w:pPr>
    <w:rPr>
      <w:rFonts w:ascii="黑体" w:eastAsia="黑体"/>
      <w:sz w:val="24"/>
      <w:szCs w:val="20"/>
    </w:rPr>
  </w:style>
  <w:style w:type="paragraph" w:customStyle="1" w:styleId="49">
    <w:name w:val="表头"/>
    <w:basedOn w:val="1"/>
    <w:qFormat/>
    <w:uiPriority w:val="0"/>
    <w:pPr>
      <w:spacing w:before="50" w:beforeLines="50" w:line="240" w:lineRule="atLeast"/>
      <w:jc w:val="center"/>
    </w:pPr>
    <w:rPr>
      <w:rFonts w:ascii="Times New Roman" w:hAnsi="Times New Roman"/>
      <w:b/>
      <w:sz w:val="24"/>
    </w:rPr>
  </w:style>
  <w:style w:type="character" w:customStyle="1" w:styleId="50">
    <w:name w:val="样式1 Char"/>
    <w:link w:val="46"/>
    <w:qFormat/>
    <w:uiPriority w:val="0"/>
    <w:rPr>
      <w:rFonts w:eastAsia="微软雅黑"/>
      <w:sz w:val="22"/>
      <w:szCs w:val="28"/>
    </w:rPr>
  </w:style>
  <w:style w:type="paragraph" w:customStyle="1" w:styleId="51">
    <w:name w:val="WPSOffice手动目录 1"/>
    <w:qFormat/>
    <w:uiPriority w:val="0"/>
    <w:pPr>
      <w:ind w:leftChars="0"/>
    </w:pPr>
    <w:rPr>
      <w:rFonts w:ascii="Times New Roman" w:hAnsi="Times New Roman" w:eastAsia="宋体" w:cs="Times New Roman"/>
      <w:sz w:val="20"/>
      <w:szCs w:val="20"/>
    </w:rPr>
  </w:style>
  <w:style w:type="paragraph" w:customStyle="1" w:styleId="52">
    <w:name w:val="封面"/>
    <w:basedOn w:val="1"/>
    <w:qFormat/>
    <w:uiPriority w:val="0"/>
  </w:style>
  <w:style w:type="paragraph" w:customStyle="1" w:styleId="53">
    <w:name w:val="WPSOffice手动目录 2"/>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9" Type="http://schemas.openxmlformats.org/officeDocument/2006/relationships/glossaryDocument" Target="glossary/document.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header" Target="header3.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header" Target="header2.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jpe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header" Target="header1.xml"/><Relationship Id="rId29" Type="http://schemas.openxmlformats.org/officeDocument/2006/relationships/image" Target="media/image10.jpeg"/><Relationship Id="rId28" Type="http://schemas.openxmlformats.org/officeDocument/2006/relationships/image" Target="media/image9.pn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jpe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efd5b888-1407-4cbc-91d4-9eea6c818ba7}"/>
        <w:style w:val=""/>
        <w:category>
          <w:name w:val="常规"/>
          <w:gallery w:val="placeholder"/>
        </w:category>
        <w:types>
          <w:type w:val="bbPlcHdr"/>
        </w:types>
        <w:behaviors>
          <w:behavior w:val="content"/>
        </w:behaviors>
        <w:description w:val=""/>
        <w:guid w:val="{efd5b888-1407-4cbc-91d4-9eea6c818ba7}"/>
      </w:docPartPr>
      <w:docPartBody>
        <w:p>
          <w:r>
            <w:rPr>
              <w:color w:val="808080"/>
            </w:rPr>
            <w:t>单击此处输入文字。</w:t>
          </w:r>
        </w:p>
      </w:docPartBody>
    </w:docPart>
    <w:docPart>
      <w:docPartPr>
        <w:name w:val="{8924dd00-06e1-4123-b9ce-efe36ea2c25f}"/>
        <w:style w:val=""/>
        <w:category>
          <w:name w:val="常规"/>
          <w:gallery w:val="placeholder"/>
        </w:category>
        <w:types>
          <w:type w:val="bbPlcHdr"/>
        </w:types>
        <w:behaviors>
          <w:behavior w:val="content"/>
        </w:behaviors>
        <w:description w:val=""/>
        <w:guid w:val="{8924dd00-06e1-4123-b9ce-efe36ea2c25f}"/>
      </w:docPartPr>
      <w:docPartBody>
        <w:p>
          <w:r>
            <w:rPr>
              <w:color w:val="808080"/>
            </w:rPr>
            <w:t>单击此处输入文字。</w:t>
          </w:r>
        </w:p>
      </w:docPartBody>
    </w:docPart>
    <w:docPart>
      <w:docPartPr>
        <w:name w:val="{75f4b8cf-115e-42a8-843b-b42e7ae7204d}"/>
        <w:style w:val=""/>
        <w:category>
          <w:name w:val="常规"/>
          <w:gallery w:val="placeholder"/>
        </w:category>
        <w:types>
          <w:type w:val="bbPlcHdr"/>
        </w:types>
        <w:behaviors>
          <w:behavior w:val="content"/>
        </w:behaviors>
        <w:description w:val=""/>
        <w:guid w:val="{75f4b8cf-115e-42a8-843b-b42e7ae7204d}"/>
      </w:docPartPr>
      <w:docPartBody>
        <w:p>
          <w:r>
            <w:rPr>
              <w:color w:val="808080"/>
            </w:rPr>
            <w:t>单击此处输入文字。</w:t>
          </w:r>
        </w:p>
      </w:docPartBody>
    </w:docPart>
    <w:docPart>
      <w:docPartPr>
        <w:name w:val="{5c7816a1-a169-41a4-9ab8-76f6918f91cd}"/>
        <w:style w:val=""/>
        <w:category>
          <w:name w:val="常规"/>
          <w:gallery w:val="placeholder"/>
        </w:category>
        <w:types>
          <w:type w:val="bbPlcHdr"/>
        </w:types>
        <w:behaviors>
          <w:behavior w:val="content"/>
        </w:behaviors>
        <w:description w:val=""/>
        <w:guid w:val="{5c7816a1-a169-41a4-9ab8-76f6918f91cd}"/>
      </w:docPartPr>
      <w:docPartBody>
        <w:p>
          <w:r>
            <w:rPr>
              <w:color w:val="808080"/>
            </w:rPr>
            <w:t>单击此处输入文字。</w:t>
          </w:r>
        </w:p>
      </w:docPartBody>
    </w:docPart>
    <w:docPart>
      <w:docPartPr>
        <w:name w:val="{b5ec63f2-b223-412b-a02b-6d4c8e6412e0}"/>
        <w:style w:val=""/>
        <w:category>
          <w:name w:val="常规"/>
          <w:gallery w:val="placeholder"/>
        </w:category>
        <w:types>
          <w:type w:val="bbPlcHdr"/>
        </w:types>
        <w:behaviors>
          <w:behavior w:val="content"/>
        </w:behaviors>
        <w:description w:val=""/>
        <w:guid w:val="{b5ec63f2-b223-412b-a02b-6d4c8e6412e0}"/>
      </w:docPartPr>
      <w:docPartBody>
        <w:p>
          <w:r>
            <w:rPr>
              <w:color w:val="808080"/>
            </w:rPr>
            <w:t>单击此处输入文字。</w:t>
          </w:r>
        </w:p>
      </w:docPartBody>
    </w:docPart>
    <w:docPart>
      <w:docPartPr>
        <w:name w:val="{db0a3ed2-9865-444b-b508-49e756575bff}"/>
        <w:style w:val=""/>
        <w:category>
          <w:name w:val="常规"/>
          <w:gallery w:val="placeholder"/>
        </w:category>
        <w:types>
          <w:type w:val="bbPlcHdr"/>
        </w:types>
        <w:behaviors>
          <w:behavior w:val="content"/>
        </w:behaviors>
        <w:description w:val=""/>
        <w:guid w:val="{db0a3ed2-9865-444b-b508-49e756575bff}"/>
      </w:docPartPr>
      <w:docPartBody>
        <w:p>
          <w:r>
            <w:rPr>
              <w:color w:val="808080"/>
            </w:rPr>
            <w:t>单击此处输入文字。</w:t>
          </w:r>
        </w:p>
      </w:docPartBody>
    </w:docPart>
    <w:docPart>
      <w:docPartPr>
        <w:name w:val="{32b97fb6-9242-497d-a760-ceb1d976d3aa}"/>
        <w:style w:val=""/>
        <w:category>
          <w:name w:val="常规"/>
          <w:gallery w:val="placeholder"/>
        </w:category>
        <w:types>
          <w:type w:val="bbPlcHdr"/>
        </w:types>
        <w:behaviors>
          <w:behavior w:val="content"/>
        </w:behaviors>
        <w:description w:val=""/>
        <w:guid w:val="{32b97fb6-9242-497d-a760-ceb1d976d3aa}"/>
      </w:docPartPr>
      <w:docPartBody>
        <w:p>
          <w:r>
            <w:rPr>
              <w:color w:val="808080"/>
            </w:rPr>
            <w:t>单击此处输入文字。</w:t>
          </w:r>
        </w:p>
      </w:docPartBody>
    </w:docPart>
    <w:docPart>
      <w:docPartPr>
        <w:name w:val="{ca9c2e95-a5ab-47ab-803e-ef931632e6a7}"/>
        <w:style w:val=""/>
        <w:category>
          <w:name w:val="常规"/>
          <w:gallery w:val="placeholder"/>
        </w:category>
        <w:types>
          <w:type w:val="bbPlcHdr"/>
        </w:types>
        <w:behaviors>
          <w:behavior w:val="content"/>
        </w:behaviors>
        <w:description w:val=""/>
        <w:guid w:val="{ca9c2e95-a5ab-47ab-803e-ef931632e6a7}"/>
      </w:docPartPr>
      <w:docPartBody>
        <w:p>
          <w:r>
            <w:rPr>
              <w:color w:val="808080"/>
            </w:rPr>
            <w:t>单击此处输入文字。</w:t>
          </w:r>
        </w:p>
      </w:docPartBody>
    </w:docPart>
    <w:docPart>
      <w:docPartPr>
        <w:name w:val="{69723dc1-b8e5-4d0b-bfb3-8e26911eb435}"/>
        <w:style w:val=""/>
        <w:category>
          <w:name w:val="常规"/>
          <w:gallery w:val="placeholder"/>
        </w:category>
        <w:types>
          <w:type w:val="bbPlcHdr"/>
        </w:types>
        <w:behaviors>
          <w:behavior w:val="content"/>
        </w:behaviors>
        <w:description w:val=""/>
        <w:guid w:val="{69723dc1-b8e5-4d0b-bfb3-8e26911eb435}"/>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compat>
    <w:useFELayout/>
    <w:splitPgBreakAndParaMark/>
    <w:compatSetting w:name="compatibilityMode" w:uri="http://schemas.microsoft.com/office/word" w:val="14"/>
  </w:compat>
  <w:rsids>
    <w:rsidRoot w:val="000000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style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A27B496-7CFA-44F7-A3B4-3F643C854004}">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19</Pages>
  <Words>2362</Words>
  <Characters>13467</Characters>
  <Lines>112</Lines>
  <Paragraphs>31</Paragraphs>
  <TotalTime>1</TotalTime>
  <ScaleCrop>false</ScaleCrop>
  <LinksUpToDate>false</LinksUpToDate>
  <CharactersWithSpaces>15798</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2018-04-24T17:57:00Z</dcterms:created>
  <dc:creator>Administrator</dc:creator>
  <cp:lastModifiedBy>Administrator</cp:lastModifiedBy>
  <cp:lastPrinted>2018-10-06T02:29:00Z</cp:lastPrinted>
  <dcterms:modified xsi:type="dcterms:W3CDTF">2019-01-15T01:29:33Z</dcterms:modified>
  <dc:title>杨龙 处员</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