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cs="Times New Roman"/>
          <w:b/>
          <w:bCs/>
          <w:sz w:val="28"/>
          <w:szCs w:val="28"/>
        </w:rPr>
      </w:pPr>
      <w:r>
        <w:rPr>
          <w:rFonts w:ascii="Times New Roman" w:hAnsi="Times New Roman" w:cs="Times New Roman"/>
          <w:b/>
          <w:bCs/>
          <w:sz w:val="28"/>
          <w:szCs w:val="28"/>
        </w:rPr>
        <w:t xml:space="preserve">附件1  </w:t>
      </w:r>
      <w:r>
        <w:rPr>
          <w:rFonts w:hint="eastAsia" w:ascii="Times New Roman" w:hAnsi="Times New Roman" w:cs="Times New Roman"/>
          <w:b/>
          <w:bCs/>
          <w:sz w:val="28"/>
          <w:szCs w:val="28"/>
        </w:rPr>
        <w:t>监测委托书</w:t>
      </w:r>
    </w:p>
    <w:p>
      <w:pPr>
        <w:jc w:val="center"/>
        <w:rPr>
          <w:rFonts w:ascii="Times New Roman" w:hAnsi="Times New Roman" w:cs="Times New Roman"/>
          <w:b/>
          <w:bCs/>
          <w:sz w:val="28"/>
          <w:szCs w:val="28"/>
        </w:rPr>
      </w:pPr>
      <w:r>
        <w:rPr>
          <w:rFonts w:ascii="Times New Roman" w:hAnsi="Times New Roman" w:cs="Times New Roman"/>
          <w:b/>
          <w:bCs/>
          <w:sz w:val="28"/>
          <w:szCs w:val="28"/>
        </w:rPr>
        <w:drawing>
          <wp:inline distT="0" distB="0" distL="114300" distR="114300">
            <wp:extent cx="5883275" cy="8102600"/>
            <wp:effectExtent l="0" t="0" r="3175" b="12700"/>
            <wp:docPr id="3" name="图片 3" descr="lADPDgQ9qcpiQa_NAyDNAkU_581_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lADPDgQ9qcpiQa_NAyDNAkU_581_800"/>
                    <pic:cNvPicPr>
                      <a:picLocks noChangeAspect="1"/>
                    </pic:cNvPicPr>
                  </pic:nvPicPr>
                  <pic:blipFill>
                    <a:blip r:embed="rId4"/>
                    <a:stretch>
                      <a:fillRect/>
                    </a:stretch>
                  </pic:blipFill>
                  <pic:spPr>
                    <a:xfrm>
                      <a:off x="0" y="0"/>
                      <a:ext cx="5883275" cy="8102600"/>
                    </a:xfrm>
                    <a:prstGeom prst="rect">
                      <a:avLst/>
                    </a:prstGeom>
                  </pic:spPr>
                </pic:pic>
              </a:graphicData>
            </a:graphic>
          </wp:inline>
        </w:drawing>
      </w:r>
    </w:p>
    <w:p>
      <w:pPr>
        <w:rPr>
          <w:b/>
          <w:bCs/>
        </w:rPr>
      </w:pPr>
    </w:p>
    <w:p>
      <w:pPr>
        <w:rPr>
          <w:b/>
          <w:bCs/>
        </w:rPr>
        <w:sectPr>
          <w:pgSz w:w="11906" w:h="16838"/>
          <w:pgMar w:top="1440" w:right="1800" w:bottom="1440" w:left="1800" w:header="851" w:footer="992" w:gutter="0"/>
          <w:cols w:space="425" w:num="1"/>
          <w:docGrid w:type="lines" w:linePitch="312" w:charSpace="0"/>
        </w:sectPr>
      </w:pPr>
    </w:p>
    <w:p>
      <w:pPr>
        <w:rPr>
          <w:rFonts w:ascii="Times New Roman" w:hAnsi="Times New Roman" w:cs="Times New Roman"/>
          <w:b/>
          <w:bCs/>
          <w:sz w:val="28"/>
          <w:szCs w:val="28"/>
        </w:rPr>
      </w:pPr>
      <w:r>
        <w:rPr>
          <w:rFonts w:ascii="Times New Roman" w:hAnsi="Times New Roman" w:cs="Times New Roman"/>
          <w:b/>
          <w:bCs/>
          <w:sz w:val="28"/>
          <w:szCs w:val="28"/>
        </w:rPr>
        <w:t>附件2  环评批复</w:t>
      </w:r>
    </w:p>
    <w:p>
      <w:pPr>
        <w:rPr>
          <w:b/>
          <w:bCs/>
        </w:rPr>
      </w:pPr>
      <w:r>
        <w:rPr>
          <w:rFonts w:hint="eastAsia"/>
        </w:rPr>
        <w:drawing>
          <wp:inline distT="0" distB="0" distL="114300" distR="114300">
            <wp:extent cx="5269865" cy="7247255"/>
            <wp:effectExtent l="0" t="0" r="6985" b="10795"/>
            <wp:docPr id="1" name="图片 1" descr="百德环评批复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百德环评批复 (1)"/>
                    <pic:cNvPicPr>
                      <a:picLocks noChangeAspect="1"/>
                    </pic:cNvPicPr>
                  </pic:nvPicPr>
                  <pic:blipFill>
                    <a:blip r:embed="rId5"/>
                    <a:stretch>
                      <a:fillRect/>
                    </a:stretch>
                  </pic:blipFill>
                  <pic:spPr>
                    <a:xfrm>
                      <a:off x="0" y="0"/>
                      <a:ext cx="5269865" cy="7247255"/>
                    </a:xfrm>
                    <a:prstGeom prst="rect">
                      <a:avLst/>
                    </a:prstGeom>
                  </pic:spPr>
                </pic:pic>
              </a:graphicData>
            </a:graphic>
          </wp:inline>
        </w:drawing>
      </w:r>
    </w:p>
    <w:p>
      <w:pPr>
        <w:rPr>
          <w:b/>
          <w:bCs/>
        </w:rPr>
      </w:pPr>
    </w:p>
    <w:p>
      <w:pPr>
        <w:rPr>
          <w:b/>
          <w:bCs/>
        </w:rPr>
      </w:pPr>
    </w:p>
    <w:p>
      <w:pPr>
        <w:rPr>
          <w:b/>
          <w:bCs/>
        </w:rPr>
      </w:pPr>
    </w:p>
    <w:p>
      <w:pPr>
        <w:rPr>
          <w:b/>
          <w:bCs/>
        </w:rPr>
      </w:pPr>
    </w:p>
    <w:p>
      <w:pPr>
        <w:rPr>
          <w:b/>
          <w:bCs/>
        </w:rPr>
      </w:pPr>
    </w:p>
    <w:p>
      <w:pPr>
        <w:rPr>
          <w:b/>
          <w:bCs/>
        </w:rPr>
      </w:pPr>
      <w:r>
        <w:rPr>
          <w:rFonts w:hint="eastAsia"/>
          <w:b/>
          <w:bCs/>
        </w:rPr>
        <w:drawing>
          <wp:inline distT="0" distB="0" distL="114300" distR="114300">
            <wp:extent cx="5269865" cy="7247255"/>
            <wp:effectExtent l="0" t="0" r="6985" b="10795"/>
            <wp:docPr id="2" name="图片 2" descr="百德环评批复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百德环评批复 (2)"/>
                    <pic:cNvPicPr>
                      <a:picLocks noChangeAspect="1"/>
                    </pic:cNvPicPr>
                  </pic:nvPicPr>
                  <pic:blipFill>
                    <a:blip r:embed="rId6"/>
                    <a:stretch>
                      <a:fillRect/>
                    </a:stretch>
                  </pic:blipFill>
                  <pic:spPr>
                    <a:xfrm>
                      <a:off x="0" y="0"/>
                      <a:ext cx="5269865" cy="7247255"/>
                    </a:xfrm>
                    <a:prstGeom prst="rect">
                      <a:avLst/>
                    </a:prstGeom>
                  </pic:spPr>
                </pic:pic>
              </a:graphicData>
            </a:graphic>
          </wp:inline>
        </w:drawing>
      </w:r>
    </w:p>
    <w:p>
      <w:pPr>
        <w:rPr>
          <w:b/>
          <w:bCs/>
        </w:rPr>
      </w:pPr>
    </w:p>
    <w:p>
      <w:pPr>
        <w:rPr>
          <w:b/>
          <w:bCs/>
        </w:rPr>
      </w:pPr>
    </w:p>
    <w:p>
      <w:pPr>
        <w:rPr>
          <w:b/>
          <w:bCs/>
        </w:rPr>
      </w:pPr>
    </w:p>
    <w:p>
      <w:pPr>
        <w:rPr>
          <w:b/>
          <w:bCs/>
        </w:rPr>
      </w:pPr>
    </w:p>
    <w:p>
      <w:pPr>
        <w:rPr>
          <w:b/>
          <w:bCs/>
        </w:rPr>
      </w:pPr>
    </w:p>
    <w:p>
      <w:pPr>
        <w:rPr>
          <w:b/>
          <w:bCs/>
        </w:rPr>
      </w:pPr>
    </w:p>
    <w:p>
      <w:pPr>
        <w:rPr>
          <w:b/>
          <w:bCs/>
        </w:rPr>
      </w:pPr>
    </w:p>
    <w:p>
      <w:pPr>
        <w:pStyle w:val="2"/>
        <w:ind w:firstLine="0" w:firstLineChars="0"/>
      </w:pPr>
      <w:r>
        <w:rPr>
          <w:rFonts w:hint="eastAsia" w:ascii="Times New Roman" w:hAnsi="Times New Roman" w:cs="Times New Roman"/>
          <w:b/>
          <w:bCs/>
          <w:sz w:val="28"/>
          <w:szCs w:val="28"/>
        </w:rPr>
        <w:t>附件3  环境保护验收一览表</w:t>
      </w:r>
    </w:p>
    <w:tbl>
      <w:tblPr>
        <w:tblStyle w:val="12"/>
        <w:tblW w:w="8780"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635"/>
        <w:gridCol w:w="955"/>
        <w:gridCol w:w="249"/>
        <w:gridCol w:w="830"/>
        <w:gridCol w:w="2839"/>
        <w:gridCol w:w="1630"/>
        <w:gridCol w:w="1642"/>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65" w:hRule="atLeast"/>
        </w:trPr>
        <w:tc>
          <w:tcPr>
            <w:tcW w:w="635" w:type="dxa"/>
            <w:tcBorders>
              <w:bottom w:val="single" w:color="auto" w:sz="4" w:space="0"/>
              <w:right w:val="single" w:color="auto" w:sz="4" w:space="0"/>
            </w:tcBorders>
            <w:vAlign w:val="center"/>
          </w:tcPr>
          <w:p>
            <w:pPr>
              <w:pStyle w:val="13"/>
              <w:rPr>
                <w:rFonts w:ascii="Times New Roman" w:hAnsi="Times New Roman" w:cs="Times New Roman"/>
              </w:rPr>
            </w:pPr>
            <w:r>
              <w:rPr>
                <w:rFonts w:ascii="Times New Roman" w:hAnsi="Times New Roman" w:cs="Times New Roman"/>
              </w:rPr>
              <w:t>污染物</w:t>
            </w:r>
          </w:p>
        </w:tc>
        <w:tc>
          <w:tcPr>
            <w:tcW w:w="955" w:type="dxa"/>
            <w:tcBorders>
              <w:left w:val="single" w:color="auto" w:sz="4" w:space="0"/>
            </w:tcBorders>
            <w:vAlign w:val="center"/>
          </w:tcPr>
          <w:p>
            <w:pPr>
              <w:pStyle w:val="13"/>
              <w:rPr>
                <w:rFonts w:ascii="Times New Roman" w:hAnsi="Times New Roman" w:cs="Times New Roman"/>
              </w:rPr>
            </w:pPr>
            <w:r>
              <w:rPr>
                <w:rFonts w:ascii="Times New Roman" w:hAnsi="Times New Roman" w:cs="Times New Roman"/>
              </w:rPr>
              <w:t>验收点</w:t>
            </w:r>
          </w:p>
        </w:tc>
        <w:tc>
          <w:tcPr>
            <w:tcW w:w="1079" w:type="dxa"/>
            <w:gridSpan w:val="2"/>
            <w:vAlign w:val="center"/>
          </w:tcPr>
          <w:p>
            <w:pPr>
              <w:pStyle w:val="13"/>
              <w:rPr>
                <w:rFonts w:ascii="Times New Roman" w:hAnsi="Times New Roman" w:cs="Times New Roman"/>
              </w:rPr>
            </w:pPr>
            <w:r>
              <w:rPr>
                <w:rFonts w:ascii="Times New Roman" w:hAnsi="Times New Roman" w:cs="Times New Roman"/>
              </w:rPr>
              <w:t>污染因子</w:t>
            </w:r>
          </w:p>
        </w:tc>
        <w:tc>
          <w:tcPr>
            <w:tcW w:w="2839" w:type="dxa"/>
            <w:vAlign w:val="center"/>
          </w:tcPr>
          <w:p>
            <w:pPr>
              <w:pStyle w:val="13"/>
              <w:rPr>
                <w:rFonts w:ascii="Times New Roman" w:hAnsi="Times New Roman" w:cs="Times New Roman"/>
              </w:rPr>
            </w:pPr>
            <w:r>
              <w:rPr>
                <w:rFonts w:ascii="Times New Roman" w:hAnsi="Times New Roman" w:cs="Times New Roman"/>
              </w:rPr>
              <w:t>处理措施验收</w:t>
            </w:r>
          </w:p>
        </w:tc>
        <w:tc>
          <w:tcPr>
            <w:tcW w:w="1630" w:type="dxa"/>
            <w:vAlign w:val="center"/>
          </w:tcPr>
          <w:p>
            <w:pPr>
              <w:pStyle w:val="13"/>
              <w:rPr>
                <w:rFonts w:ascii="Times New Roman" w:hAnsi="Times New Roman" w:cs="Times New Roman"/>
              </w:rPr>
            </w:pPr>
            <w:r>
              <w:rPr>
                <w:rFonts w:ascii="Times New Roman" w:hAnsi="Times New Roman" w:cs="Times New Roman"/>
              </w:rPr>
              <w:t>验收要求</w:t>
            </w:r>
          </w:p>
        </w:tc>
        <w:tc>
          <w:tcPr>
            <w:tcW w:w="1642" w:type="dxa"/>
            <w:vAlign w:val="center"/>
          </w:tcPr>
          <w:p>
            <w:pPr>
              <w:pStyle w:val="13"/>
              <w:rPr>
                <w:rFonts w:ascii="Times New Roman" w:hAnsi="Times New Roman" w:cs="Times New Roman"/>
              </w:rPr>
            </w:pPr>
            <w:r>
              <w:rPr>
                <w:rFonts w:ascii="Times New Roman" w:hAnsi="Times New Roman" w:cs="Times New Roman"/>
              </w:rPr>
              <w:t>备注</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2482" w:hRule="atLeast"/>
        </w:trPr>
        <w:tc>
          <w:tcPr>
            <w:tcW w:w="635" w:type="dxa"/>
            <w:tcBorders>
              <w:top w:val="single" w:color="auto" w:sz="4" w:space="0"/>
            </w:tcBorders>
            <w:vAlign w:val="center"/>
          </w:tcPr>
          <w:p>
            <w:pPr>
              <w:pStyle w:val="13"/>
              <w:rPr>
                <w:rFonts w:ascii="Times New Roman" w:hAnsi="Times New Roman" w:cs="Times New Roman"/>
              </w:rPr>
            </w:pPr>
            <w:r>
              <w:rPr>
                <w:rFonts w:ascii="Times New Roman" w:hAnsi="Times New Roman" w:cs="Times New Roman"/>
              </w:rPr>
              <w:t>废水</w:t>
            </w:r>
          </w:p>
        </w:tc>
        <w:tc>
          <w:tcPr>
            <w:tcW w:w="2034" w:type="dxa"/>
            <w:gridSpan w:val="3"/>
            <w:vAlign w:val="center"/>
          </w:tcPr>
          <w:p>
            <w:pPr>
              <w:pStyle w:val="13"/>
              <w:jc w:val="both"/>
              <w:rPr>
                <w:rFonts w:ascii="Times New Roman" w:hAnsi="Times New Roman" w:eastAsia="宋体" w:cs="Times New Roman"/>
              </w:rPr>
            </w:pPr>
            <w:r>
              <w:rPr>
                <w:rFonts w:ascii="Times New Roman" w:hAnsi="Times New Roman" w:cs="Times New Roman"/>
              </w:rPr>
              <w:t>污水排放口：总磷、悬浮物、氨氮、总氮、化学需氧量、总磷、五日生化需氧量</w:t>
            </w:r>
          </w:p>
        </w:tc>
        <w:tc>
          <w:tcPr>
            <w:tcW w:w="2839" w:type="dxa"/>
            <w:vAlign w:val="center"/>
          </w:tcPr>
          <w:p>
            <w:pPr>
              <w:pStyle w:val="13"/>
              <w:rPr>
                <w:rFonts w:ascii="Times New Roman" w:hAnsi="Times New Roman" w:cs="Times New Roman"/>
              </w:rPr>
            </w:pPr>
            <w:r>
              <w:rPr>
                <w:rFonts w:ascii="Times New Roman" w:hAnsi="Times New Roman" w:cs="Times New Roman"/>
              </w:rPr>
              <w:t>建成近期处理能力500m</w:t>
            </w:r>
            <w:r>
              <w:rPr>
                <w:rFonts w:ascii="Times New Roman" w:hAnsi="Times New Roman" w:cs="Times New Roman"/>
                <w:vertAlign w:val="superscript"/>
              </w:rPr>
              <w:t>3</w:t>
            </w:r>
            <w:r>
              <w:rPr>
                <w:rFonts w:ascii="Times New Roman" w:hAnsi="Times New Roman" w:cs="Times New Roman"/>
              </w:rPr>
              <w:t>/d的污水处理厂，配备检验设备</w:t>
            </w:r>
          </w:p>
        </w:tc>
        <w:tc>
          <w:tcPr>
            <w:tcW w:w="1630" w:type="dxa"/>
            <w:vAlign w:val="center"/>
          </w:tcPr>
          <w:p>
            <w:pPr>
              <w:pStyle w:val="13"/>
              <w:rPr>
                <w:rFonts w:ascii="Times New Roman" w:hAnsi="Times New Roman" w:cs="Times New Roman"/>
              </w:rPr>
            </w:pPr>
            <w:r>
              <w:rPr>
                <w:rFonts w:ascii="Times New Roman" w:hAnsi="Times New Roman" w:cs="Times New Roman"/>
              </w:rPr>
              <w:t>落实相应措施</w:t>
            </w:r>
          </w:p>
        </w:tc>
        <w:tc>
          <w:tcPr>
            <w:tcW w:w="1642" w:type="dxa"/>
            <w:vAlign w:val="center"/>
          </w:tcPr>
          <w:p>
            <w:pPr>
              <w:pStyle w:val="13"/>
              <w:rPr>
                <w:rFonts w:ascii="Times New Roman" w:hAnsi="Times New Roman" w:cs="Times New Roman"/>
              </w:rPr>
            </w:pPr>
            <w:r>
              <w:rPr>
                <w:rFonts w:ascii="Times New Roman" w:hAnsi="Times New Roman" w:cs="Times New Roman"/>
              </w:rPr>
              <w:t>SS：≤10mg/L</w:t>
            </w:r>
          </w:p>
          <w:p>
            <w:pPr>
              <w:pStyle w:val="13"/>
              <w:rPr>
                <w:rFonts w:ascii="Times New Roman" w:hAnsi="Times New Roman" w:cs="Times New Roman"/>
              </w:rPr>
            </w:pPr>
            <w:r>
              <w:rPr>
                <w:rFonts w:ascii="Times New Roman" w:hAnsi="Times New Roman" w:cs="Times New Roman"/>
              </w:rPr>
              <w:t>COD：≤50mg/L</w:t>
            </w:r>
          </w:p>
          <w:p>
            <w:pPr>
              <w:pStyle w:val="13"/>
              <w:rPr>
                <w:rFonts w:ascii="Times New Roman" w:hAnsi="Times New Roman" w:cs="Times New Roman"/>
              </w:rPr>
            </w:pPr>
            <w:r>
              <w:rPr>
                <w:rFonts w:ascii="Times New Roman" w:hAnsi="Times New Roman" w:cs="Times New Roman"/>
              </w:rPr>
              <w:t>BOD</w:t>
            </w:r>
            <w:r>
              <w:rPr>
                <w:rFonts w:ascii="Times New Roman" w:hAnsi="Times New Roman" w:cs="Times New Roman"/>
                <w:vertAlign w:val="subscript"/>
              </w:rPr>
              <w:t>5</w:t>
            </w:r>
            <w:r>
              <w:rPr>
                <w:rFonts w:ascii="Times New Roman" w:hAnsi="Times New Roman" w:cs="Times New Roman"/>
              </w:rPr>
              <w:t>：≤10mg/L</w:t>
            </w:r>
          </w:p>
          <w:p>
            <w:pPr>
              <w:pStyle w:val="13"/>
              <w:rPr>
                <w:rFonts w:ascii="Times New Roman" w:hAnsi="Times New Roman" w:cs="Times New Roman"/>
              </w:rPr>
            </w:pPr>
            <w:r>
              <w:rPr>
                <w:rFonts w:ascii="Times New Roman" w:hAnsi="Times New Roman" w:cs="Times New Roman"/>
              </w:rPr>
              <w:t>氨氮：≤5mg/L</w:t>
            </w:r>
          </w:p>
          <w:p>
            <w:pPr>
              <w:pStyle w:val="13"/>
              <w:numPr>
                <w:ilvl w:val="0"/>
                <w:numId w:val="1"/>
              </w:numPr>
              <w:rPr>
                <w:rFonts w:ascii="Times New Roman" w:hAnsi="Times New Roman" w:cs="Times New Roman"/>
                <w:kern w:val="0"/>
              </w:rPr>
            </w:pPr>
            <w:r>
              <w:rPr>
                <w:rFonts w:ascii="Times New Roman" w:hAnsi="Times New Roman" w:cs="Times New Roman"/>
                <w:kern w:val="0"/>
              </w:rPr>
              <w:t>N：</w:t>
            </w:r>
            <w:r>
              <w:rPr>
                <w:rFonts w:ascii="Times New Roman" w:hAnsi="Times New Roman" w:cs="Times New Roman"/>
              </w:rPr>
              <w:t>≤15mg/L</w:t>
            </w:r>
          </w:p>
          <w:p>
            <w:pPr>
              <w:pStyle w:val="13"/>
              <w:jc w:val="both"/>
              <w:rPr>
                <w:rFonts w:ascii="Times New Roman" w:hAnsi="Times New Roman" w:eastAsia="宋体" w:cs="Times New Roman"/>
                <w:kern w:val="0"/>
              </w:rPr>
            </w:pPr>
            <w:r>
              <w:rPr>
                <w:rFonts w:ascii="Times New Roman" w:hAnsi="Times New Roman" w:cs="Times New Roman"/>
                <w:kern w:val="0"/>
              </w:rPr>
              <w:t>总磷：</w:t>
            </w:r>
            <w:r>
              <w:rPr>
                <w:rFonts w:ascii="Times New Roman" w:hAnsi="Times New Roman" w:cs="Times New Roman"/>
              </w:rPr>
              <w:t>≤</w:t>
            </w:r>
            <w:r>
              <w:rPr>
                <w:rFonts w:ascii="Times New Roman" w:hAnsi="Times New Roman" w:cs="Times New Roman"/>
                <w:kern w:val="0"/>
              </w:rPr>
              <w:t>0.5</w:t>
            </w:r>
            <w:r>
              <w:rPr>
                <w:rFonts w:ascii="Times New Roman" w:hAnsi="Times New Roman" w:cs="Times New Roman"/>
              </w:rPr>
              <w:t>mg/L</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50" w:hRule="atLeast"/>
        </w:trPr>
        <w:tc>
          <w:tcPr>
            <w:tcW w:w="635" w:type="dxa"/>
            <w:vAlign w:val="center"/>
          </w:tcPr>
          <w:p>
            <w:pPr>
              <w:pStyle w:val="13"/>
              <w:rPr>
                <w:rFonts w:ascii="Times New Roman" w:hAnsi="Times New Roman" w:cs="Times New Roman"/>
              </w:rPr>
            </w:pPr>
            <w:r>
              <w:rPr>
                <w:rFonts w:ascii="Times New Roman" w:hAnsi="Times New Roman" w:cs="Times New Roman"/>
              </w:rPr>
              <w:t>噪声</w:t>
            </w:r>
          </w:p>
        </w:tc>
        <w:tc>
          <w:tcPr>
            <w:tcW w:w="2034" w:type="dxa"/>
            <w:gridSpan w:val="3"/>
            <w:vAlign w:val="center"/>
          </w:tcPr>
          <w:p>
            <w:pPr>
              <w:pStyle w:val="13"/>
              <w:rPr>
                <w:rFonts w:ascii="Times New Roman" w:hAnsi="Times New Roman" w:cs="Times New Roman"/>
              </w:rPr>
            </w:pPr>
            <w:r>
              <w:rPr>
                <w:rFonts w:ascii="Times New Roman" w:hAnsi="Times New Roman" w:cs="Times New Roman"/>
              </w:rPr>
              <w:t>厂界</w:t>
            </w:r>
          </w:p>
        </w:tc>
        <w:tc>
          <w:tcPr>
            <w:tcW w:w="2839" w:type="dxa"/>
            <w:vAlign w:val="center"/>
          </w:tcPr>
          <w:p>
            <w:pPr>
              <w:pStyle w:val="13"/>
              <w:rPr>
                <w:rFonts w:ascii="Times New Roman" w:hAnsi="Times New Roman" w:cs="Times New Roman"/>
              </w:rPr>
            </w:pPr>
            <w:r>
              <w:rPr>
                <w:rFonts w:ascii="Times New Roman" w:hAnsi="Times New Roman" w:cs="Times New Roman"/>
              </w:rPr>
              <w:t>厂界达标排放</w:t>
            </w:r>
          </w:p>
        </w:tc>
        <w:tc>
          <w:tcPr>
            <w:tcW w:w="1630" w:type="dxa"/>
            <w:vAlign w:val="center"/>
          </w:tcPr>
          <w:p>
            <w:pPr>
              <w:pStyle w:val="13"/>
              <w:rPr>
                <w:rFonts w:ascii="Times New Roman" w:hAnsi="Times New Roman" w:cs="Times New Roman"/>
              </w:rPr>
            </w:pPr>
            <w:r>
              <w:rPr>
                <w:rFonts w:ascii="Times New Roman" w:hAnsi="Times New Roman" w:cs="Times New Roman"/>
              </w:rPr>
              <w:t>GB12348-2008）中2类标准</w:t>
            </w:r>
          </w:p>
        </w:tc>
        <w:tc>
          <w:tcPr>
            <w:tcW w:w="1642" w:type="dxa"/>
            <w:vAlign w:val="center"/>
          </w:tcPr>
          <w:p>
            <w:pPr>
              <w:pStyle w:val="13"/>
              <w:rPr>
                <w:rFonts w:ascii="Times New Roman" w:hAnsi="Times New Roman" w:eastAsia="宋体" w:cs="Times New Roman"/>
              </w:rPr>
            </w:pPr>
            <w:r>
              <w:rPr>
                <w:rFonts w:ascii="Times New Roman" w:hAnsi="Times New Roman" w:cs="Times New Roman"/>
              </w:rPr>
              <w:t>昼≤60；夜≤50</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1258" w:hRule="atLeast"/>
        </w:trPr>
        <w:tc>
          <w:tcPr>
            <w:tcW w:w="635" w:type="dxa"/>
            <w:vAlign w:val="center"/>
          </w:tcPr>
          <w:p>
            <w:pPr>
              <w:pStyle w:val="13"/>
              <w:rPr>
                <w:rFonts w:ascii="Times New Roman" w:hAnsi="Times New Roman" w:eastAsia="宋体" w:cs="Times New Roman"/>
              </w:rPr>
            </w:pPr>
            <w:r>
              <w:rPr>
                <w:rFonts w:ascii="Times New Roman" w:hAnsi="Times New Roman" w:cs="Times New Roman"/>
              </w:rPr>
              <w:t>大气</w:t>
            </w:r>
          </w:p>
        </w:tc>
        <w:tc>
          <w:tcPr>
            <w:tcW w:w="2034" w:type="dxa"/>
            <w:gridSpan w:val="3"/>
            <w:vAlign w:val="center"/>
          </w:tcPr>
          <w:p>
            <w:pPr>
              <w:pStyle w:val="13"/>
              <w:rPr>
                <w:rFonts w:ascii="Times New Roman" w:hAnsi="Times New Roman" w:eastAsia="宋体" w:cs="Times New Roman"/>
              </w:rPr>
            </w:pPr>
            <w:r>
              <w:rPr>
                <w:rFonts w:ascii="Times New Roman" w:hAnsi="Times New Roman" w:cs="Times New Roman"/>
              </w:rPr>
              <w:t>进水渠道、格栅及调节池、沉砂池产生的恶臭</w:t>
            </w:r>
          </w:p>
        </w:tc>
        <w:tc>
          <w:tcPr>
            <w:tcW w:w="2839" w:type="dxa"/>
            <w:vAlign w:val="center"/>
          </w:tcPr>
          <w:p>
            <w:pPr>
              <w:rPr>
                <w:rFonts w:ascii="Times New Roman" w:hAnsi="Times New Roman" w:cs="Times New Roman"/>
                <w:szCs w:val="21"/>
              </w:rPr>
            </w:pPr>
            <w:r>
              <w:rPr>
                <w:rFonts w:ascii="Times New Roman" w:hAnsi="Times New Roman" w:cs="Times New Roman"/>
                <w:kern w:val="0"/>
                <w:szCs w:val="21"/>
              </w:rPr>
              <w:t>对产生恶臭气体设施、建（构）筑物进行密闭处理，加强厂区绿化，加强泵房通风</w:t>
            </w:r>
          </w:p>
        </w:tc>
        <w:tc>
          <w:tcPr>
            <w:tcW w:w="3272" w:type="dxa"/>
            <w:gridSpan w:val="2"/>
            <w:vAlign w:val="center"/>
          </w:tcPr>
          <w:p>
            <w:pPr>
              <w:pStyle w:val="13"/>
              <w:rPr>
                <w:rFonts w:ascii="Times New Roman" w:hAnsi="Times New Roman" w:cs="Times New Roman"/>
              </w:rPr>
            </w:pPr>
            <w:r>
              <w:rPr>
                <w:rFonts w:ascii="Times New Roman" w:hAnsi="Times New Roman" w:cs="Times New Roman"/>
                <w:bCs/>
              </w:rPr>
              <w:t>城镇污水处理厂污染物排放标准》（GB18918-2002）</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2074" w:hRule="atLeast"/>
        </w:trPr>
        <w:tc>
          <w:tcPr>
            <w:tcW w:w="635" w:type="dxa"/>
            <w:vAlign w:val="center"/>
          </w:tcPr>
          <w:p>
            <w:pPr>
              <w:pStyle w:val="13"/>
              <w:rPr>
                <w:rFonts w:ascii="Times New Roman" w:hAnsi="Times New Roman" w:cs="Times New Roman"/>
              </w:rPr>
            </w:pPr>
            <w:r>
              <w:rPr>
                <w:rFonts w:ascii="Times New Roman" w:hAnsi="Times New Roman" w:cs="Times New Roman"/>
              </w:rPr>
              <w:t>固废</w:t>
            </w:r>
          </w:p>
        </w:tc>
        <w:tc>
          <w:tcPr>
            <w:tcW w:w="2034" w:type="dxa"/>
            <w:gridSpan w:val="3"/>
            <w:vAlign w:val="center"/>
          </w:tcPr>
          <w:p>
            <w:pPr>
              <w:pStyle w:val="13"/>
              <w:rPr>
                <w:rFonts w:ascii="Times New Roman" w:hAnsi="Times New Roman" w:cs="Times New Roman"/>
              </w:rPr>
            </w:pPr>
            <w:r>
              <w:rPr>
                <w:rFonts w:ascii="Times New Roman" w:hAnsi="Times New Roman" w:cs="Times New Roman"/>
              </w:rPr>
              <w:t>生活垃圾、污泥</w:t>
            </w:r>
          </w:p>
        </w:tc>
        <w:tc>
          <w:tcPr>
            <w:tcW w:w="2839" w:type="dxa"/>
            <w:vAlign w:val="center"/>
          </w:tcPr>
          <w:p>
            <w:pPr>
              <w:pStyle w:val="13"/>
              <w:rPr>
                <w:rFonts w:ascii="Times New Roman" w:hAnsi="Times New Roman" w:cs="Times New Roman"/>
              </w:rPr>
            </w:pPr>
            <w:r>
              <w:rPr>
                <w:rFonts w:ascii="Times New Roman" w:hAnsi="Times New Roman" w:cs="Times New Roman"/>
              </w:rPr>
              <w:t>设置污泥压滤机，污泥脱水、生石灰干化至50%以下。</w:t>
            </w:r>
          </w:p>
        </w:tc>
        <w:tc>
          <w:tcPr>
            <w:tcW w:w="1630" w:type="dxa"/>
            <w:vAlign w:val="center"/>
          </w:tcPr>
          <w:p>
            <w:pPr>
              <w:pStyle w:val="13"/>
              <w:rPr>
                <w:rFonts w:ascii="Times New Roman" w:hAnsi="Times New Roman" w:eastAsia="宋体" w:cs="Times New Roman"/>
              </w:rPr>
            </w:pPr>
            <w:r>
              <w:rPr>
                <w:rFonts w:ascii="Times New Roman" w:hAnsi="Times New Roman" w:cs="Times New Roman"/>
              </w:rPr>
              <w:t>污泥运至兴仁县污泥处理场，生活垃圾由市政环卫部门处置</w:t>
            </w:r>
          </w:p>
        </w:tc>
        <w:tc>
          <w:tcPr>
            <w:tcW w:w="1642" w:type="dxa"/>
            <w:vAlign w:val="center"/>
          </w:tcPr>
          <w:p>
            <w:pPr>
              <w:pStyle w:val="13"/>
              <w:rPr>
                <w:rFonts w:ascii="Times New Roman" w:hAnsi="Times New Roman" w:cs="Times New Roman"/>
              </w:rPr>
            </w:pPr>
            <w:r>
              <w:rPr>
                <w:rFonts w:ascii="Times New Roman" w:hAnsi="Times New Roman" w:cs="Times New Roman"/>
              </w:rPr>
              <w:t>符合处置规范</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50" w:hRule="atLeast"/>
        </w:trPr>
        <w:tc>
          <w:tcPr>
            <w:tcW w:w="635" w:type="dxa"/>
            <w:vAlign w:val="center"/>
          </w:tcPr>
          <w:p>
            <w:pPr>
              <w:pStyle w:val="13"/>
              <w:rPr>
                <w:rFonts w:ascii="Times New Roman" w:hAnsi="Times New Roman" w:cs="Times New Roman"/>
              </w:rPr>
            </w:pPr>
            <w:r>
              <w:rPr>
                <w:rFonts w:ascii="Times New Roman" w:hAnsi="Times New Roman" w:cs="Times New Roman"/>
              </w:rPr>
              <w:t>绿化</w:t>
            </w:r>
          </w:p>
        </w:tc>
        <w:tc>
          <w:tcPr>
            <w:tcW w:w="2034" w:type="dxa"/>
            <w:gridSpan w:val="3"/>
            <w:vAlign w:val="center"/>
          </w:tcPr>
          <w:p>
            <w:pPr>
              <w:pStyle w:val="13"/>
              <w:rPr>
                <w:rFonts w:ascii="Times New Roman" w:hAnsi="Times New Roman" w:cs="Times New Roman"/>
              </w:rPr>
            </w:pPr>
            <w:r>
              <w:rPr>
                <w:rFonts w:ascii="Times New Roman" w:hAnsi="Times New Roman" w:cs="Times New Roman"/>
              </w:rPr>
              <w:t xml:space="preserve">绿化 </w:t>
            </w:r>
          </w:p>
        </w:tc>
        <w:tc>
          <w:tcPr>
            <w:tcW w:w="6111" w:type="dxa"/>
            <w:gridSpan w:val="3"/>
            <w:vAlign w:val="center"/>
          </w:tcPr>
          <w:p>
            <w:pPr>
              <w:pStyle w:val="13"/>
              <w:rPr>
                <w:rFonts w:ascii="Times New Roman" w:hAnsi="Times New Roman" w:cs="Times New Roman"/>
              </w:rPr>
            </w:pPr>
            <w:r>
              <w:rPr>
                <w:rFonts w:ascii="Times New Roman" w:hAnsi="Times New Roman" w:cs="Times New Roman"/>
              </w:rPr>
              <w:t>加强绿化措施，有针对性地优化绿化树种、绿化结构和层次，提高绿化防治效果，减少气态污染物对周围环境的影响。</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53" w:hRule="atLeast"/>
        </w:trPr>
        <w:tc>
          <w:tcPr>
            <w:tcW w:w="1839" w:type="dxa"/>
            <w:gridSpan w:val="3"/>
            <w:vAlign w:val="center"/>
          </w:tcPr>
          <w:p>
            <w:pPr>
              <w:pStyle w:val="13"/>
              <w:rPr>
                <w:rFonts w:ascii="Times New Roman" w:hAnsi="Times New Roman" w:cs="Times New Roman"/>
              </w:rPr>
            </w:pPr>
            <w:r>
              <w:rPr>
                <w:rFonts w:ascii="Times New Roman" w:hAnsi="Times New Roman" w:cs="Times New Roman"/>
              </w:rPr>
              <w:t>环保手续</w:t>
            </w:r>
          </w:p>
        </w:tc>
        <w:tc>
          <w:tcPr>
            <w:tcW w:w="6941" w:type="dxa"/>
            <w:gridSpan w:val="4"/>
            <w:vAlign w:val="center"/>
          </w:tcPr>
          <w:p>
            <w:pPr>
              <w:pStyle w:val="13"/>
              <w:rPr>
                <w:rFonts w:ascii="Times New Roman" w:hAnsi="Times New Roman" w:cs="Times New Roman"/>
              </w:rPr>
            </w:pPr>
            <w:r>
              <w:rPr>
                <w:rFonts w:ascii="Times New Roman" w:hAnsi="Times New Roman" w:cs="Times New Roman"/>
              </w:rPr>
              <w:t>按环保部门有关规定办理试运行及相关手续</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53" w:hRule="atLeast"/>
        </w:trPr>
        <w:tc>
          <w:tcPr>
            <w:tcW w:w="1839" w:type="dxa"/>
            <w:gridSpan w:val="3"/>
            <w:vAlign w:val="center"/>
          </w:tcPr>
          <w:p>
            <w:pPr>
              <w:pStyle w:val="13"/>
              <w:rPr>
                <w:rFonts w:ascii="Times New Roman" w:hAnsi="Times New Roman" w:cs="Times New Roman"/>
              </w:rPr>
            </w:pPr>
            <w:r>
              <w:rPr>
                <w:rFonts w:ascii="Times New Roman" w:hAnsi="Times New Roman" w:cs="Times New Roman"/>
              </w:rPr>
              <w:t>环保设施</w:t>
            </w:r>
          </w:p>
        </w:tc>
        <w:tc>
          <w:tcPr>
            <w:tcW w:w="6941" w:type="dxa"/>
            <w:gridSpan w:val="4"/>
            <w:vAlign w:val="center"/>
          </w:tcPr>
          <w:p>
            <w:pPr>
              <w:pStyle w:val="13"/>
              <w:rPr>
                <w:rFonts w:ascii="Times New Roman" w:hAnsi="Times New Roman" w:cs="Times New Roman"/>
              </w:rPr>
            </w:pPr>
            <w:r>
              <w:rPr>
                <w:rFonts w:ascii="Times New Roman" w:hAnsi="Times New Roman" w:cs="Times New Roman"/>
              </w:rPr>
              <w:t>符合环保“三同时”规定，运行正常</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50" w:hRule="atLeast"/>
        </w:trPr>
        <w:tc>
          <w:tcPr>
            <w:tcW w:w="1839" w:type="dxa"/>
            <w:gridSpan w:val="3"/>
            <w:vAlign w:val="center"/>
          </w:tcPr>
          <w:p>
            <w:pPr>
              <w:pStyle w:val="13"/>
              <w:rPr>
                <w:rFonts w:ascii="Times New Roman" w:hAnsi="Times New Roman" w:cs="Times New Roman"/>
              </w:rPr>
            </w:pPr>
            <w:r>
              <w:rPr>
                <w:rFonts w:ascii="Times New Roman" w:hAnsi="Times New Roman" w:cs="Times New Roman"/>
              </w:rPr>
              <w:t>环境管理机构与制度</w:t>
            </w:r>
          </w:p>
        </w:tc>
        <w:tc>
          <w:tcPr>
            <w:tcW w:w="6941" w:type="dxa"/>
            <w:gridSpan w:val="4"/>
            <w:vAlign w:val="center"/>
          </w:tcPr>
          <w:p>
            <w:pPr>
              <w:pStyle w:val="13"/>
              <w:rPr>
                <w:rFonts w:ascii="Times New Roman" w:hAnsi="Times New Roman" w:cs="Times New Roman"/>
              </w:rPr>
            </w:pPr>
            <w:r>
              <w:rPr>
                <w:rFonts w:ascii="Times New Roman" w:hAnsi="Times New Roman" w:cs="Times New Roman"/>
              </w:rPr>
              <w:t>建立相关制度</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553" w:hRule="atLeast"/>
        </w:trPr>
        <w:tc>
          <w:tcPr>
            <w:tcW w:w="1839" w:type="dxa"/>
            <w:gridSpan w:val="3"/>
            <w:vAlign w:val="center"/>
          </w:tcPr>
          <w:p>
            <w:pPr>
              <w:pStyle w:val="13"/>
              <w:rPr>
                <w:rFonts w:ascii="Times New Roman" w:hAnsi="Times New Roman" w:cs="Times New Roman"/>
              </w:rPr>
            </w:pPr>
            <w:r>
              <w:rPr>
                <w:rFonts w:ascii="Times New Roman" w:hAnsi="Times New Roman" w:cs="Times New Roman"/>
              </w:rPr>
              <w:t>应急预案</w:t>
            </w:r>
          </w:p>
        </w:tc>
        <w:tc>
          <w:tcPr>
            <w:tcW w:w="6941" w:type="dxa"/>
            <w:gridSpan w:val="4"/>
            <w:vAlign w:val="center"/>
          </w:tcPr>
          <w:p>
            <w:pPr>
              <w:pStyle w:val="13"/>
              <w:rPr>
                <w:rFonts w:ascii="Times New Roman" w:hAnsi="Times New Roman" w:cs="Times New Roman"/>
              </w:rPr>
            </w:pPr>
            <w:r>
              <w:rPr>
                <w:rFonts w:ascii="Times New Roman" w:hAnsi="Times New Roman" w:cs="Times New Roman"/>
              </w:rPr>
              <w:t>齐备并向当地政府及环保局备案</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Ex>
        <w:trPr>
          <w:trHeight w:val="898" w:hRule="atLeast"/>
        </w:trPr>
        <w:tc>
          <w:tcPr>
            <w:tcW w:w="1839" w:type="dxa"/>
            <w:gridSpan w:val="3"/>
            <w:vAlign w:val="center"/>
          </w:tcPr>
          <w:p>
            <w:pPr>
              <w:pStyle w:val="13"/>
              <w:rPr>
                <w:rFonts w:ascii="Times New Roman" w:hAnsi="Times New Roman" w:cs="Times New Roman"/>
              </w:rPr>
            </w:pPr>
            <w:r>
              <w:rPr>
                <w:rFonts w:ascii="Times New Roman" w:hAnsi="Times New Roman" w:cs="Times New Roman"/>
              </w:rPr>
              <w:t>竣工验收</w:t>
            </w:r>
          </w:p>
        </w:tc>
        <w:tc>
          <w:tcPr>
            <w:tcW w:w="6941" w:type="dxa"/>
            <w:gridSpan w:val="4"/>
            <w:vAlign w:val="center"/>
          </w:tcPr>
          <w:p>
            <w:pPr>
              <w:pStyle w:val="13"/>
              <w:rPr>
                <w:rFonts w:ascii="Times New Roman" w:hAnsi="Times New Roman" w:cs="Times New Roman"/>
              </w:rPr>
            </w:pPr>
            <w:r>
              <w:rPr>
                <w:rFonts w:ascii="Times New Roman" w:hAnsi="Times New Roman" w:cs="Times New Roman"/>
              </w:rPr>
              <w:t>项目竣工投入运营前须提请兴仁县环境保护局验收，并按照要求编制建设项目竣工环境保护验收调查报告表</w:t>
            </w:r>
          </w:p>
        </w:tc>
      </w:tr>
    </w:tbl>
    <w:p>
      <w:pPr>
        <w:rPr>
          <w:rFonts w:ascii="Times New Roman" w:hAnsi="Times New Roman" w:cs="Times New Roman"/>
          <w:b/>
          <w:bCs/>
          <w:sz w:val="28"/>
          <w:szCs w:val="28"/>
        </w:rPr>
      </w:pPr>
    </w:p>
    <w:p>
      <w:pPr>
        <w:rPr>
          <w:rFonts w:ascii="Times New Roman" w:hAnsi="Times New Roman" w:cs="Times New Roman"/>
          <w:b/>
          <w:bCs/>
          <w:sz w:val="28"/>
          <w:szCs w:val="28"/>
        </w:rPr>
      </w:pPr>
    </w:p>
    <w:p>
      <w:pPr>
        <w:rPr>
          <w:rFonts w:ascii="Times New Roman" w:hAnsi="Times New Roman" w:cs="Times New Roman"/>
          <w:b/>
          <w:bCs/>
          <w:sz w:val="28"/>
          <w:szCs w:val="28"/>
        </w:rPr>
      </w:pPr>
      <w:r>
        <w:rPr>
          <w:rFonts w:hint="eastAsia" w:ascii="Times New Roman" w:hAnsi="Times New Roman" w:cs="Times New Roman"/>
          <w:b/>
          <w:bCs/>
          <w:sz w:val="28"/>
          <w:szCs w:val="28"/>
        </w:rPr>
        <w:t xml:space="preserve">附件4  </w:t>
      </w:r>
      <w:r>
        <w:rPr>
          <w:rFonts w:ascii="Times New Roman" w:hAnsi="Times New Roman" w:cs="Times New Roman"/>
          <w:b/>
          <w:bCs/>
          <w:sz w:val="28"/>
          <w:szCs w:val="28"/>
        </w:rPr>
        <w:t>验收</w:t>
      </w:r>
      <w:r>
        <w:rPr>
          <w:rFonts w:hint="eastAsia" w:ascii="Times New Roman" w:hAnsi="Times New Roman" w:cs="Times New Roman"/>
          <w:b/>
          <w:bCs/>
          <w:sz w:val="28"/>
          <w:szCs w:val="28"/>
          <w:lang w:eastAsia="zh-CN"/>
        </w:rPr>
        <w:t>检测</w:t>
      </w:r>
      <w:bookmarkStart w:id="0" w:name="_GoBack"/>
      <w:bookmarkEnd w:id="0"/>
      <w:r>
        <w:rPr>
          <w:rFonts w:ascii="Times New Roman" w:hAnsi="Times New Roman" w:cs="Times New Roman"/>
          <w:b/>
          <w:bCs/>
          <w:sz w:val="28"/>
          <w:szCs w:val="28"/>
        </w:rPr>
        <w:t>报告</w:t>
      </w:r>
    </w:p>
    <w:p>
      <w:pPr>
        <w:pStyle w:val="3"/>
        <w:ind w:firstLine="281"/>
        <w:jc w:val="center"/>
        <w:rPr>
          <w:rFonts w:ascii="Times New Roman" w:hAnsi="Times New Roman" w:cs="Times New Roman"/>
          <w:b/>
          <w:bCs/>
          <w:sz w:val="28"/>
          <w:szCs w:val="28"/>
        </w:rPr>
      </w:pPr>
      <w:r>
        <w:rPr>
          <w:rFonts w:ascii="Times New Roman" w:hAnsi="Times New Roman" w:cs="Times New Roman"/>
          <w:b/>
          <w:bCs/>
          <w:sz w:val="28"/>
          <w:szCs w:val="28"/>
        </w:rPr>
        <w:drawing>
          <wp:inline distT="0" distB="0" distL="114300" distR="114300">
            <wp:extent cx="5272405" cy="7459345"/>
            <wp:effectExtent l="0" t="0" r="4445" b="8255"/>
            <wp:docPr id="11" name="图片 11" descr="2018-1025贵州省兴仁市百德污水处理厂及配套管网工程竣工环境保护验收检测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2018-1025贵州省兴仁市百德污水处理厂及配套管网工程竣工环境保护验收检测_01"/>
                    <pic:cNvPicPr>
                      <a:picLocks noChangeAspect="1"/>
                    </pic:cNvPicPr>
                  </pic:nvPicPr>
                  <pic:blipFill>
                    <a:blip r:embed="rId7"/>
                    <a:stretch>
                      <a:fillRect/>
                    </a:stretch>
                  </pic:blipFill>
                  <pic:spPr>
                    <a:xfrm>
                      <a:off x="0" y="0"/>
                      <a:ext cx="5272405" cy="745934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jc w:val="center"/>
        <w:rPr>
          <w:rFonts w:ascii="Times New Roman" w:hAnsi="Times New Roman" w:cs="Times New Roman"/>
          <w:b/>
          <w:bCs/>
          <w:sz w:val="28"/>
          <w:szCs w:val="28"/>
        </w:rPr>
      </w:pPr>
      <w:r>
        <w:rPr>
          <w:rFonts w:ascii="Times New Roman" w:hAnsi="Times New Roman" w:cs="Times New Roman"/>
          <w:b/>
          <w:bCs/>
          <w:sz w:val="28"/>
          <w:szCs w:val="28"/>
        </w:rPr>
        <w:drawing>
          <wp:inline distT="0" distB="0" distL="114300" distR="114300">
            <wp:extent cx="5272405" cy="7459345"/>
            <wp:effectExtent l="0" t="0" r="4445" b="8255"/>
            <wp:docPr id="12" name="图片 12" descr="2018-1025贵州省兴仁市百德污水处理厂及配套管网工程竣工环境保护验收检测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2018-1025贵州省兴仁市百德污水处理厂及配套管网工程竣工环境保护验收检测_02"/>
                    <pic:cNvPicPr>
                      <a:picLocks noChangeAspect="1"/>
                    </pic:cNvPicPr>
                  </pic:nvPicPr>
                  <pic:blipFill>
                    <a:blip r:embed="rId8"/>
                    <a:stretch>
                      <a:fillRect/>
                    </a:stretch>
                  </pic:blipFill>
                  <pic:spPr>
                    <a:xfrm>
                      <a:off x="0" y="0"/>
                      <a:ext cx="5272405" cy="745934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jc w:val="center"/>
        <w:rPr>
          <w:rFonts w:ascii="Times New Roman" w:hAnsi="Times New Roman" w:cs="Times New Roman"/>
          <w:b/>
          <w:bCs/>
          <w:sz w:val="28"/>
          <w:szCs w:val="28"/>
        </w:rPr>
      </w:pPr>
      <w:r>
        <w:rPr>
          <w:rFonts w:ascii="Times New Roman" w:hAnsi="Times New Roman" w:cs="Times New Roman"/>
          <w:b/>
          <w:bCs/>
          <w:sz w:val="28"/>
          <w:szCs w:val="28"/>
        </w:rPr>
        <w:drawing>
          <wp:inline distT="0" distB="0" distL="114300" distR="114300">
            <wp:extent cx="5272405" cy="7459345"/>
            <wp:effectExtent l="0" t="0" r="4445" b="8255"/>
            <wp:docPr id="13" name="图片 13" descr="2018-1025贵州省兴仁市百德污水处理厂及配套管网工程竣工环境保护验收检测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18-1025贵州省兴仁市百德污水处理厂及配套管网工程竣工环境保护验收检测_03"/>
                    <pic:cNvPicPr>
                      <a:picLocks noChangeAspect="1"/>
                    </pic:cNvPicPr>
                  </pic:nvPicPr>
                  <pic:blipFill>
                    <a:blip r:embed="rId9"/>
                    <a:stretch>
                      <a:fillRect/>
                    </a:stretch>
                  </pic:blipFill>
                  <pic:spPr>
                    <a:xfrm>
                      <a:off x="0" y="0"/>
                      <a:ext cx="5272405" cy="745934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jc w:val="center"/>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5561965" cy="7869555"/>
            <wp:effectExtent l="0" t="0" r="635" b="17145"/>
            <wp:docPr id="14" name="图片 14" descr="2018-1025贵州省兴仁市百德污水处理厂及配套管网工程竣工环境保护验收检测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018-1025贵州省兴仁市百德污水处理厂及配套管网工程竣工环境保护验收检测_04"/>
                    <pic:cNvPicPr>
                      <a:picLocks noChangeAspect="1"/>
                    </pic:cNvPicPr>
                  </pic:nvPicPr>
                  <pic:blipFill>
                    <a:blip r:embed="rId10"/>
                    <a:stretch>
                      <a:fillRect/>
                    </a:stretch>
                  </pic:blipFill>
                  <pic:spPr>
                    <a:xfrm>
                      <a:off x="0" y="0"/>
                      <a:ext cx="5561965" cy="786955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jc w:val="center"/>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5641975" cy="7983220"/>
            <wp:effectExtent l="0" t="0" r="15875" b="17780"/>
            <wp:docPr id="15" name="图片 15" descr="2018-1025贵州省兴仁市百德污水处理厂及配套管网工程竣工环境保护验收检测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2018-1025贵州省兴仁市百德污水处理厂及配套管网工程竣工环境保护验收检测_05"/>
                    <pic:cNvPicPr>
                      <a:picLocks noChangeAspect="1"/>
                    </pic:cNvPicPr>
                  </pic:nvPicPr>
                  <pic:blipFill>
                    <a:blip r:embed="rId11"/>
                    <a:stretch>
                      <a:fillRect/>
                    </a:stretch>
                  </pic:blipFill>
                  <pic:spPr>
                    <a:xfrm>
                      <a:off x="0" y="0"/>
                      <a:ext cx="5641975" cy="7983220"/>
                    </a:xfrm>
                    <a:prstGeom prst="rect">
                      <a:avLst/>
                    </a:prstGeom>
                  </pic:spPr>
                </pic:pic>
              </a:graphicData>
            </a:graphic>
          </wp:inline>
        </w:drawing>
      </w:r>
    </w:p>
    <w:p>
      <w:pPr>
        <w:pStyle w:val="3"/>
        <w:ind w:firstLine="281"/>
        <w:jc w:val="center"/>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7439660" cy="5258435"/>
            <wp:effectExtent l="0" t="0" r="18415" b="8890"/>
            <wp:docPr id="16" name="图片 16" descr="2018-1025贵州省兴仁市百德污水处理厂及配套管网工程竣工环境保护验收检测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2018-1025贵州省兴仁市百德污水处理厂及配套管网工程竣工环境保护验收检测_06"/>
                    <pic:cNvPicPr>
                      <a:picLocks noChangeAspect="1"/>
                    </pic:cNvPicPr>
                  </pic:nvPicPr>
                  <pic:blipFill>
                    <a:blip r:embed="rId12"/>
                    <a:stretch>
                      <a:fillRect/>
                    </a:stretch>
                  </pic:blipFill>
                  <pic:spPr>
                    <a:xfrm rot="16200000">
                      <a:off x="0" y="0"/>
                      <a:ext cx="7439660" cy="525843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7639685" cy="5399405"/>
            <wp:effectExtent l="0" t="0" r="10795" b="18415"/>
            <wp:docPr id="17" name="图片 17" descr="2018-1025贵州省兴仁市百德污水处理厂及配套管网工程竣工环境保护验收检测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018-1025贵州省兴仁市百德污水处理厂及配套管网工程竣工环境保护验收检测_07"/>
                    <pic:cNvPicPr>
                      <a:picLocks noChangeAspect="1"/>
                    </pic:cNvPicPr>
                  </pic:nvPicPr>
                  <pic:blipFill>
                    <a:blip r:embed="rId13"/>
                    <a:stretch>
                      <a:fillRect/>
                    </a:stretch>
                  </pic:blipFill>
                  <pic:spPr>
                    <a:xfrm rot="16200000">
                      <a:off x="0" y="0"/>
                      <a:ext cx="7639685" cy="539940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5272405" cy="7459345"/>
            <wp:effectExtent l="0" t="0" r="4445" b="8255"/>
            <wp:docPr id="18" name="图片 18" descr="2018-1025贵州省兴仁市百德污水处理厂及配套管网工程竣工环境保护验收检测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018-1025贵州省兴仁市百德污水处理厂及配套管网工程竣工环境保护验收检测_08"/>
                    <pic:cNvPicPr>
                      <a:picLocks noChangeAspect="1"/>
                    </pic:cNvPicPr>
                  </pic:nvPicPr>
                  <pic:blipFill>
                    <a:blip r:embed="rId14"/>
                    <a:stretch>
                      <a:fillRect/>
                    </a:stretch>
                  </pic:blipFill>
                  <pic:spPr>
                    <a:xfrm>
                      <a:off x="0" y="0"/>
                      <a:ext cx="5272405" cy="7459345"/>
                    </a:xfrm>
                    <a:prstGeom prst="rect">
                      <a:avLst/>
                    </a:prstGeom>
                  </pic:spPr>
                </pic:pic>
              </a:graphicData>
            </a:graphic>
          </wp:inline>
        </w:drawing>
      </w:r>
    </w:p>
    <w:p>
      <w:pPr>
        <w:pStyle w:val="3"/>
        <w:ind w:firstLine="281"/>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5272405" cy="7459345"/>
            <wp:effectExtent l="0" t="0" r="4445" b="8255"/>
            <wp:docPr id="19" name="图片 19" descr="2018-1025贵州省兴仁市百德污水处理厂及配套管网工程竣工环境保护验收检测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018-1025贵州省兴仁市百德污水处理厂及配套管网工程竣工环境保护验收检测_09"/>
                    <pic:cNvPicPr>
                      <a:picLocks noChangeAspect="1"/>
                    </pic:cNvPicPr>
                  </pic:nvPicPr>
                  <pic:blipFill>
                    <a:blip r:embed="rId15"/>
                    <a:stretch>
                      <a:fillRect/>
                    </a:stretch>
                  </pic:blipFill>
                  <pic:spPr>
                    <a:xfrm>
                      <a:off x="0" y="0"/>
                      <a:ext cx="5272405" cy="7459345"/>
                    </a:xfrm>
                    <a:prstGeom prst="rect">
                      <a:avLst/>
                    </a:prstGeom>
                  </pic:spPr>
                </pic:pic>
              </a:graphicData>
            </a:graphic>
          </wp:inline>
        </w:drawing>
      </w:r>
    </w:p>
    <w:p>
      <w:pPr>
        <w:pStyle w:val="3"/>
        <w:ind w:firstLine="281"/>
        <w:rPr>
          <w:rFonts w:ascii="Times New Roman" w:hAnsi="Times New Roman" w:cs="Times New Roman"/>
          <w:b/>
          <w:bCs/>
          <w:sz w:val="28"/>
          <w:szCs w:val="28"/>
        </w:rPr>
      </w:pPr>
      <w:r>
        <w:rPr>
          <w:rFonts w:hint="eastAsia" w:ascii="Times New Roman" w:hAnsi="Times New Roman" w:cs="Times New Roman"/>
          <w:b/>
          <w:bCs/>
          <w:sz w:val="28"/>
          <w:szCs w:val="28"/>
        </w:rPr>
        <w:drawing>
          <wp:inline distT="0" distB="0" distL="114300" distR="114300">
            <wp:extent cx="5272405" cy="7459345"/>
            <wp:effectExtent l="0" t="0" r="4445" b="8255"/>
            <wp:docPr id="20" name="图片 20" descr="2018-1025贵州省兴仁市百德污水处理厂及配套管网工程竣工环境保护验收检测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018-1025贵州省兴仁市百德污水处理厂及配套管网工程竣工环境保护验收检测_10"/>
                    <pic:cNvPicPr>
                      <a:picLocks noChangeAspect="1"/>
                    </pic:cNvPicPr>
                  </pic:nvPicPr>
                  <pic:blipFill>
                    <a:blip r:embed="rId16"/>
                    <a:stretch>
                      <a:fillRect/>
                    </a:stretch>
                  </pic:blipFill>
                  <pic:spPr>
                    <a:xfrm>
                      <a:off x="0" y="0"/>
                      <a:ext cx="5272405" cy="7459345"/>
                    </a:xfrm>
                    <a:prstGeom prst="rect">
                      <a:avLst/>
                    </a:prstGeom>
                  </pic:spPr>
                </pic:pic>
              </a:graphicData>
            </a:graphic>
          </wp:inline>
        </w:drawing>
      </w:r>
      <w:r>
        <w:rPr>
          <w:rFonts w:hint="eastAsia" w:ascii="Times New Roman" w:hAnsi="Times New Roman" w:cs="Times New Roman"/>
          <w:b/>
          <w:bCs/>
          <w:sz w:val="28"/>
          <w:szCs w:val="28"/>
        </w:rPr>
        <w:drawing>
          <wp:inline distT="0" distB="0" distL="114300" distR="114300">
            <wp:extent cx="5272405" cy="7459345"/>
            <wp:effectExtent l="0" t="0" r="4445" b="8255"/>
            <wp:docPr id="21" name="图片 21" descr="2018-1025贵州省兴仁市百德污水处理厂及配套管网工程竣工环境保护验收检测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2018-1025贵州省兴仁市百德污水处理厂及配套管网工程竣工环境保护验收检测_11"/>
                    <pic:cNvPicPr>
                      <a:picLocks noChangeAspect="1"/>
                    </pic:cNvPicPr>
                  </pic:nvPicPr>
                  <pic:blipFill>
                    <a:blip r:embed="rId17"/>
                    <a:stretch>
                      <a:fillRect/>
                    </a:stretch>
                  </pic:blipFill>
                  <pic:spPr>
                    <a:xfrm>
                      <a:off x="0" y="0"/>
                      <a:ext cx="5272405" cy="7459345"/>
                    </a:xfrm>
                    <a:prstGeom prst="rect">
                      <a:avLst/>
                    </a:prstGeom>
                  </pic:spPr>
                </pic:pic>
              </a:graphicData>
            </a:graphic>
          </wp:inline>
        </w:drawing>
      </w:r>
      <w:r>
        <w:rPr>
          <w:rFonts w:hint="eastAsia" w:ascii="Times New Roman" w:hAnsi="Times New Roman" w:cs="Times New Roman"/>
          <w:b/>
          <w:bCs/>
          <w:sz w:val="28"/>
          <w:szCs w:val="28"/>
        </w:rPr>
        <w:drawing>
          <wp:inline distT="0" distB="0" distL="114300" distR="114300">
            <wp:extent cx="5267325" cy="7454265"/>
            <wp:effectExtent l="0" t="0" r="9525" b="13335"/>
            <wp:docPr id="22" name="图片 22" descr="2018-1025贵州省兴仁市百德污水处理厂及配套管网工程竣工环境保护验收检测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2018-1025贵州省兴仁市百德污水处理厂及配套管网工程竣工环境保护验收检测_12"/>
                    <pic:cNvPicPr>
                      <a:picLocks noChangeAspect="1"/>
                    </pic:cNvPicPr>
                  </pic:nvPicPr>
                  <pic:blipFill>
                    <a:blip r:embed="rId18"/>
                    <a:stretch>
                      <a:fillRect/>
                    </a:stretch>
                  </pic:blipFill>
                  <pic:spPr>
                    <a:xfrm>
                      <a:off x="0" y="0"/>
                      <a:ext cx="5267325" cy="7454265"/>
                    </a:xfrm>
                    <a:prstGeom prst="rect">
                      <a:avLst/>
                    </a:prstGeom>
                  </pic:spPr>
                </pic:pic>
              </a:graphicData>
            </a:graphic>
          </wp:inline>
        </w:drawing>
      </w:r>
      <w:r>
        <w:rPr>
          <w:rFonts w:hint="eastAsia" w:ascii="Times New Roman" w:hAnsi="Times New Roman" w:cs="Times New Roman"/>
          <w:b/>
          <w:bCs/>
          <w:sz w:val="28"/>
          <w:szCs w:val="28"/>
        </w:rPr>
        <w:drawing>
          <wp:inline distT="0" distB="0" distL="114300" distR="114300">
            <wp:extent cx="5267325" cy="7454265"/>
            <wp:effectExtent l="0" t="0" r="9525" b="13335"/>
            <wp:docPr id="23" name="图片 23" descr="2018-1025贵州省兴仁市百德污水处理厂及配套管网工程竣工环境保护验收检测_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018-1025贵州省兴仁市百德污水处理厂及配套管网工程竣工环境保护验收检测_13"/>
                    <pic:cNvPicPr>
                      <a:picLocks noChangeAspect="1"/>
                    </pic:cNvPicPr>
                  </pic:nvPicPr>
                  <pic:blipFill>
                    <a:blip r:embed="rId19"/>
                    <a:stretch>
                      <a:fillRect/>
                    </a:stretch>
                  </pic:blipFill>
                  <pic:spPr>
                    <a:xfrm>
                      <a:off x="0" y="0"/>
                      <a:ext cx="5267325" cy="7454265"/>
                    </a:xfrm>
                    <a:prstGeom prst="rect">
                      <a:avLst/>
                    </a:prstGeom>
                  </pic:spPr>
                </pic:pic>
              </a:graphicData>
            </a:graphic>
          </wp:inline>
        </w:drawing>
      </w:r>
      <w:r>
        <w:rPr>
          <w:rFonts w:hint="eastAsia" w:ascii="Times New Roman" w:hAnsi="Times New Roman" w:cs="Times New Roman"/>
          <w:b/>
          <w:bCs/>
          <w:sz w:val="28"/>
          <w:szCs w:val="28"/>
        </w:rPr>
        <w:drawing>
          <wp:inline distT="0" distB="0" distL="114300" distR="114300">
            <wp:extent cx="7610475" cy="5379085"/>
            <wp:effectExtent l="0" t="0" r="12065" b="9525"/>
            <wp:docPr id="24" name="图片 24" descr="2018-1025贵州省兴仁市百德污水处理厂及配套管网工程竣工环境保护验收检测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018-1025贵州省兴仁市百德污水处理厂及配套管网工程竣工环境保护验收检测_14"/>
                    <pic:cNvPicPr>
                      <a:picLocks noChangeAspect="1"/>
                    </pic:cNvPicPr>
                  </pic:nvPicPr>
                  <pic:blipFill>
                    <a:blip r:embed="rId20"/>
                    <a:stretch>
                      <a:fillRect/>
                    </a:stretch>
                  </pic:blipFill>
                  <pic:spPr>
                    <a:xfrm rot="16200000">
                      <a:off x="0" y="0"/>
                      <a:ext cx="7610475" cy="5379085"/>
                    </a:xfrm>
                    <a:prstGeom prst="rect">
                      <a:avLst/>
                    </a:prstGeom>
                  </pic:spPr>
                </pic:pic>
              </a:graphicData>
            </a:graphic>
          </wp:inline>
        </w:drawing>
      </w:r>
      <w:r>
        <w:rPr>
          <w:rFonts w:hint="eastAsia" w:ascii="Times New Roman" w:hAnsi="Times New Roman" w:cs="Times New Roman"/>
          <w:b/>
          <w:bCs/>
          <w:sz w:val="28"/>
          <w:szCs w:val="28"/>
        </w:rPr>
        <w:drawing>
          <wp:inline distT="0" distB="0" distL="114300" distR="114300">
            <wp:extent cx="5272405" cy="7459345"/>
            <wp:effectExtent l="0" t="0" r="4445" b="8255"/>
            <wp:docPr id="25" name="图片 25" descr="2018-1025贵州省兴仁市百德污水处理厂及配套管网工程竣工环境保护验收检测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2018-1025贵州省兴仁市百德污水处理厂及配套管网工程竣工环境保护验收检测_15"/>
                    <pic:cNvPicPr>
                      <a:picLocks noChangeAspect="1"/>
                    </pic:cNvPicPr>
                  </pic:nvPicPr>
                  <pic:blipFill>
                    <a:blip r:embed="rId21"/>
                    <a:stretch>
                      <a:fillRect/>
                    </a:stretch>
                  </pic:blipFill>
                  <pic:spPr>
                    <a:xfrm>
                      <a:off x="0" y="0"/>
                      <a:ext cx="5272405" cy="7459345"/>
                    </a:xfrm>
                    <a:prstGeom prst="rect">
                      <a:avLst/>
                    </a:prstGeom>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r>
        <w:rPr>
          <w:rFonts w:hint="eastAsia" w:ascii="Times New Roman" w:hAnsi="Times New Roman" w:cs="Times New Roman"/>
          <w:b/>
          <w:bCs/>
          <w:sz w:val="28"/>
          <w:szCs w:val="28"/>
        </w:rPr>
        <w:t>附件5  外委数据</w:t>
      </w:r>
    </w:p>
    <w:p>
      <w:pPr>
        <w:pStyle w:val="3"/>
        <w:ind w:firstLine="210"/>
      </w:pPr>
      <w:r>
        <w:drawing>
          <wp:inline distT="0" distB="0" distL="114300" distR="114300">
            <wp:extent cx="5274310" cy="7511415"/>
            <wp:effectExtent l="0" t="0" r="2540" b="1333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22"/>
                    <a:stretch>
                      <a:fillRect/>
                    </a:stretch>
                  </pic:blipFill>
                  <pic:spPr>
                    <a:xfrm>
                      <a:off x="0" y="0"/>
                      <a:ext cx="5274310" cy="7511415"/>
                    </a:xfrm>
                    <a:prstGeom prst="rect">
                      <a:avLst/>
                    </a:prstGeom>
                    <a:noFill/>
                    <a:ln w="9525">
                      <a:noFill/>
                    </a:ln>
                  </pic:spPr>
                </pic:pic>
              </a:graphicData>
            </a:graphic>
          </wp:inline>
        </w:drawing>
      </w:r>
    </w:p>
    <w:p>
      <w:pPr>
        <w:pStyle w:val="3"/>
        <w:ind w:firstLine="210"/>
      </w:pPr>
      <w:r>
        <w:drawing>
          <wp:inline distT="0" distB="0" distL="114300" distR="114300">
            <wp:extent cx="5269865" cy="7475220"/>
            <wp:effectExtent l="0" t="0" r="6985" b="1143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3"/>
                    <a:stretch>
                      <a:fillRect/>
                    </a:stretch>
                  </pic:blipFill>
                  <pic:spPr>
                    <a:xfrm>
                      <a:off x="0" y="0"/>
                      <a:ext cx="5269865" cy="7475220"/>
                    </a:xfrm>
                    <a:prstGeom prst="rect">
                      <a:avLst/>
                    </a:prstGeom>
                    <a:noFill/>
                    <a:ln w="9525">
                      <a:noFill/>
                    </a:ln>
                  </pic:spPr>
                </pic:pic>
              </a:graphicData>
            </a:graphic>
          </wp:inline>
        </w:drawing>
      </w: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81"/>
        <w:rPr>
          <w:rFonts w:ascii="Times New Roman" w:hAnsi="Times New Roman" w:cs="Times New Roman"/>
          <w:b/>
          <w:bCs/>
          <w:sz w:val="28"/>
          <w:szCs w:val="28"/>
        </w:rPr>
      </w:pPr>
    </w:p>
    <w:p>
      <w:pPr>
        <w:pStyle w:val="3"/>
        <w:ind w:firstLine="210"/>
      </w:pPr>
      <w:r>
        <w:drawing>
          <wp:inline distT="0" distB="0" distL="114300" distR="114300">
            <wp:extent cx="5271135" cy="7499985"/>
            <wp:effectExtent l="0" t="0" r="5715" b="571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4"/>
                    <a:stretch>
                      <a:fillRect/>
                    </a:stretch>
                  </pic:blipFill>
                  <pic:spPr>
                    <a:xfrm>
                      <a:off x="0" y="0"/>
                      <a:ext cx="5271135" cy="7499985"/>
                    </a:xfrm>
                    <a:prstGeom prst="rect">
                      <a:avLst/>
                    </a:prstGeom>
                    <a:noFill/>
                    <a:ln w="9525">
                      <a:noFill/>
                    </a:ln>
                  </pic:spPr>
                </pic:pic>
              </a:graphicData>
            </a:graphic>
          </wp:inline>
        </w:drawing>
      </w:r>
    </w:p>
    <w:p>
      <w:pPr>
        <w:pStyle w:val="3"/>
        <w:ind w:firstLine="210"/>
      </w:pPr>
    </w:p>
    <w:p>
      <w:pPr>
        <w:pStyle w:val="3"/>
        <w:ind w:firstLine="210"/>
      </w:pPr>
    </w:p>
    <w:p>
      <w:pPr>
        <w:pStyle w:val="3"/>
        <w:ind w:firstLine="210"/>
      </w:pPr>
    </w:p>
    <w:p>
      <w:pPr>
        <w:pStyle w:val="3"/>
        <w:ind w:firstLine="210"/>
      </w:pPr>
    </w:p>
    <w:p>
      <w:pPr>
        <w:pStyle w:val="3"/>
        <w:ind w:firstLine="210"/>
      </w:pPr>
      <w:r>
        <w:drawing>
          <wp:inline distT="0" distB="0" distL="114300" distR="114300">
            <wp:extent cx="5271135" cy="7437120"/>
            <wp:effectExtent l="0" t="0" r="5715" b="1143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5"/>
                    <a:stretch>
                      <a:fillRect/>
                    </a:stretch>
                  </pic:blipFill>
                  <pic:spPr>
                    <a:xfrm>
                      <a:off x="0" y="0"/>
                      <a:ext cx="5271135" cy="7437120"/>
                    </a:xfrm>
                    <a:prstGeom prst="rect">
                      <a:avLst/>
                    </a:prstGeom>
                    <a:noFill/>
                    <a:ln w="9525">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F3A746"/>
    <w:multiLevelType w:val="singleLevel"/>
    <w:tmpl w:val="37F3A746"/>
    <w:lvl w:ilvl="0" w:tentative="0">
      <w:start w:val="20"/>
      <w:numFmt w:val="upperLetter"/>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7067704"/>
    <w:rsid w:val="0042388C"/>
    <w:rsid w:val="006226E6"/>
    <w:rsid w:val="00DF706C"/>
    <w:rsid w:val="036B2118"/>
    <w:rsid w:val="09736A15"/>
    <w:rsid w:val="0B152EAB"/>
    <w:rsid w:val="0C0304BE"/>
    <w:rsid w:val="152215AB"/>
    <w:rsid w:val="3D04313E"/>
    <w:rsid w:val="3F3E203E"/>
    <w:rsid w:val="417B16F3"/>
    <w:rsid w:val="47067704"/>
    <w:rsid w:val="4AEA05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0">
    <w:name w:val="Default Paragraph Font"/>
    <w:semiHidden/>
    <w:unhideWhenUsed/>
    <w:uiPriority w:val="1"/>
  </w:style>
  <w:style w:type="table" w:default="1" w:styleId="12">
    <w:name w:val="Normal Table"/>
    <w:semiHidden/>
    <w:unhideWhenUsed/>
    <w:uiPriority w:val="99"/>
    <w:tblPr>
      <w:tblLayout w:type="fixed"/>
      <w:tblCellMar>
        <w:top w:w="0" w:type="dxa"/>
        <w:left w:w="108" w:type="dxa"/>
        <w:bottom w:w="0" w:type="dxa"/>
        <w:right w:w="108" w:type="dxa"/>
      </w:tblCellMar>
    </w:tblPr>
  </w:style>
  <w:style w:type="paragraph" w:customStyle="1" w:styleId="2">
    <w:name w:val="正文(首行缩进)"/>
    <w:basedOn w:val="3"/>
    <w:next w:val="3"/>
    <w:qFormat/>
    <w:uiPriority w:val="0"/>
    <w:pPr>
      <w:ind w:firstLine="200" w:firstLineChars="200"/>
    </w:pPr>
    <w:rPr>
      <w:rFonts w:ascii="宋体" w:hAnsi="宋体" w:cs="宋体"/>
      <w:snapToGrid w:val="0"/>
    </w:rPr>
  </w:style>
  <w:style w:type="paragraph" w:styleId="3">
    <w:name w:val="Body Text First Indent"/>
    <w:basedOn w:val="4"/>
    <w:qFormat/>
    <w:uiPriority w:val="0"/>
    <w:pPr>
      <w:ind w:firstLine="420" w:firstLineChars="100"/>
    </w:pPr>
  </w:style>
  <w:style w:type="paragraph" w:styleId="4">
    <w:name w:val="Body Text"/>
    <w:basedOn w:val="1"/>
    <w:qFormat/>
    <w:uiPriority w:val="0"/>
    <w:pPr>
      <w:spacing w:after="120"/>
    </w:pPr>
  </w:style>
  <w:style w:type="paragraph" w:styleId="5">
    <w:name w:val="annotation subject"/>
    <w:basedOn w:val="6"/>
    <w:next w:val="6"/>
    <w:link w:val="17"/>
    <w:qFormat/>
    <w:uiPriority w:val="0"/>
    <w:rPr>
      <w:b/>
      <w:bCs/>
    </w:rPr>
  </w:style>
  <w:style w:type="paragraph" w:styleId="6">
    <w:name w:val="annotation text"/>
    <w:basedOn w:val="1"/>
    <w:link w:val="16"/>
    <w:qFormat/>
    <w:uiPriority w:val="0"/>
    <w:pPr>
      <w:jc w:val="left"/>
    </w:pPr>
  </w:style>
  <w:style w:type="paragraph" w:styleId="7">
    <w:name w:val="Balloon Text"/>
    <w:basedOn w:val="1"/>
    <w:link w:val="14"/>
    <w:qFormat/>
    <w:uiPriority w:val="0"/>
    <w:rPr>
      <w:sz w:val="18"/>
      <w:szCs w:val="18"/>
    </w:rPr>
  </w:style>
  <w:style w:type="paragraph" w:styleId="8">
    <w:name w:val="footer"/>
    <w:basedOn w:val="1"/>
    <w:qFormat/>
    <w:uiPriority w:val="0"/>
    <w:pPr>
      <w:tabs>
        <w:tab w:val="center" w:pos="4153"/>
        <w:tab w:val="right" w:pos="8306"/>
      </w:tabs>
    </w:pPr>
    <w:rPr>
      <w:rFonts w:ascii="Tahoma" w:hAnsi="Tahoma"/>
      <w:sz w:val="18"/>
      <w:szCs w:val="18"/>
    </w:rPr>
  </w:style>
  <w:style w:type="paragraph" w:styleId="9">
    <w:name w:val="header"/>
    <w:basedOn w:val="1"/>
    <w:link w:val="15"/>
    <w:uiPriority w:val="0"/>
    <w:pPr>
      <w:pBdr>
        <w:bottom w:val="single" w:color="auto" w:sz="6" w:space="1"/>
      </w:pBdr>
      <w:tabs>
        <w:tab w:val="center" w:pos="4153"/>
        <w:tab w:val="right" w:pos="8306"/>
      </w:tabs>
      <w:snapToGrid w:val="0"/>
      <w:jc w:val="center"/>
    </w:pPr>
    <w:rPr>
      <w:sz w:val="18"/>
      <w:szCs w:val="18"/>
    </w:rPr>
  </w:style>
  <w:style w:type="character" w:styleId="11">
    <w:name w:val="annotation reference"/>
    <w:basedOn w:val="10"/>
    <w:qFormat/>
    <w:uiPriority w:val="0"/>
    <w:rPr>
      <w:sz w:val="21"/>
      <w:szCs w:val="21"/>
    </w:rPr>
  </w:style>
  <w:style w:type="paragraph" w:customStyle="1" w:styleId="13">
    <w:name w:val="表格-内容"/>
    <w:basedOn w:val="1"/>
    <w:qFormat/>
    <w:uiPriority w:val="0"/>
    <w:pPr>
      <w:jc w:val="center"/>
    </w:pPr>
    <w:rPr>
      <w:szCs w:val="21"/>
    </w:rPr>
  </w:style>
  <w:style w:type="character" w:customStyle="1" w:styleId="14">
    <w:name w:val="批注框文本 Char"/>
    <w:basedOn w:val="10"/>
    <w:link w:val="7"/>
    <w:qFormat/>
    <w:uiPriority w:val="0"/>
    <w:rPr>
      <w:kern w:val="2"/>
      <w:sz w:val="18"/>
      <w:szCs w:val="18"/>
    </w:rPr>
  </w:style>
  <w:style w:type="character" w:customStyle="1" w:styleId="15">
    <w:name w:val="页眉 Char"/>
    <w:basedOn w:val="10"/>
    <w:link w:val="9"/>
    <w:qFormat/>
    <w:uiPriority w:val="0"/>
    <w:rPr>
      <w:kern w:val="2"/>
      <w:sz w:val="18"/>
      <w:szCs w:val="18"/>
    </w:rPr>
  </w:style>
  <w:style w:type="character" w:customStyle="1" w:styleId="16">
    <w:name w:val="批注文字 Char"/>
    <w:basedOn w:val="10"/>
    <w:link w:val="6"/>
    <w:qFormat/>
    <w:uiPriority w:val="0"/>
    <w:rPr>
      <w:kern w:val="2"/>
      <w:sz w:val="21"/>
      <w:szCs w:val="24"/>
    </w:rPr>
  </w:style>
  <w:style w:type="character" w:customStyle="1" w:styleId="17">
    <w:name w:val="批注主题 Char"/>
    <w:basedOn w:val="16"/>
    <w:link w:val="5"/>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108</Words>
  <Characters>618</Characters>
  <Lines>5</Lines>
  <Paragraphs>1</Paragraphs>
  <TotalTime>7</TotalTime>
  <ScaleCrop>false</ScaleCrop>
  <LinksUpToDate>false</LinksUpToDate>
  <CharactersWithSpaces>725</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2018-11-15T06:50:00Z</dcterms:created>
  <dc:creator>Administrator</dc:creator>
  <cp:lastModifiedBy>Administrator</cp:lastModifiedBy>
  <dcterms:modified xsi:type="dcterms:W3CDTF">2019-01-21T01:29:54Z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