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eastAsiaTheme="minorEastAsia"/>
          <w:b/>
          <w:color w:val="000000"/>
          <w:sz w:val="36"/>
          <w:szCs w:val="36"/>
        </w:rPr>
      </w:pPr>
    </w:p>
    <w:p>
      <w:pPr>
        <w:pStyle w:val="20"/>
        <w:ind w:firstLine="480"/>
      </w:pPr>
    </w:p>
    <w:p>
      <w:pPr>
        <w:pStyle w:val="6"/>
        <w:ind w:firstLine="220"/>
      </w:pPr>
    </w:p>
    <w:p>
      <w:pPr>
        <w:spacing w:line="480" w:lineRule="exact"/>
        <w:jc w:val="center"/>
        <w:rPr>
          <w:rFonts w:ascii="宋体" w:hAnsi="宋体" w:eastAsia="宋体" w:cs="宋体"/>
          <w:b/>
          <w:color w:val="000000"/>
          <w:spacing w:val="-20"/>
          <w:w w:val="80"/>
          <w:sz w:val="48"/>
          <w:szCs w:val="48"/>
        </w:rPr>
      </w:pPr>
      <w:r>
        <w:rPr>
          <w:rFonts w:hint="eastAsia" w:ascii="宋体" w:hAnsi="宋体" w:eastAsia="宋体" w:cs="宋体"/>
          <w:b/>
          <w:color w:val="000000"/>
          <w:w w:val="80"/>
          <w:sz w:val="48"/>
          <w:szCs w:val="48"/>
        </w:rPr>
        <w:t>兴义市苗通外用膏贴生产线建设项目竣工</w:t>
      </w:r>
    </w:p>
    <w:p>
      <w:pPr>
        <w:jc w:val="center"/>
        <w:rPr>
          <w:rFonts w:eastAsiaTheme="minorEastAsia"/>
          <w:color w:val="000000"/>
          <w:spacing w:val="-40"/>
          <w:w w:val="90"/>
          <w:sz w:val="72"/>
          <w:szCs w:val="72"/>
        </w:rPr>
      </w:pPr>
      <w:r>
        <w:rPr>
          <w:rFonts w:hint="eastAsia" w:ascii="宋体" w:hAnsi="宋体" w:eastAsia="宋体" w:cs="宋体"/>
          <w:b/>
          <w:color w:val="000000"/>
          <w:spacing w:val="-40"/>
          <w:w w:val="90"/>
          <w:sz w:val="72"/>
          <w:szCs w:val="72"/>
        </w:rPr>
        <w:t>环境保护</w:t>
      </w:r>
      <w:r>
        <w:rPr>
          <w:rFonts w:eastAsiaTheme="minorEastAsia"/>
          <w:b/>
          <w:color w:val="000000"/>
          <w:spacing w:val="-40"/>
          <w:w w:val="90"/>
          <w:sz w:val="72"/>
          <w:szCs w:val="72"/>
        </w:rPr>
        <w:t>验收报告</w:t>
      </w:r>
    </w:p>
    <w:p>
      <w:pPr>
        <w:pStyle w:val="6"/>
        <w:ind w:firstLine="220"/>
        <w:rPr>
          <w:rFonts w:eastAsiaTheme="minorEastAsia"/>
        </w:rPr>
      </w:pPr>
    </w:p>
    <w:p>
      <w:pPr>
        <w:pStyle w:val="6"/>
        <w:ind w:firstLine="220"/>
        <w:rPr>
          <w:rFonts w:eastAsiaTheme="minorEastAsia"/>
        </w:rPr>
      </w:pPr>
    </w:p>
    <w:p>
      <w:pPr>
        <w:pStyle w:val="6"/>
        <w:ind w:firstLine="0" w:firstLineChars="0"/>
        <w:jc w:val="both"/>
        <w:rPr>
          <w:rFonts w:eastAsiaTheme="minorEastAsia"/>
        </w:rPr>
      </w:pPr>
      <w:r>
        <w:rPr>
          <w:rFonts w:eastAsiaTheme="minorEastAsia"/>
        </w:rPr>
        <w:t xml:space="preserve">  </w:t>
      </w:r>
    </w:p>
    <w:p>
      <w:pPr>
        <w:pStyle w:val="6"/>
        <w:ind w:firstLine="0" w:firstLineChars="0"/>
        <w:jc w:val="both"/>
        <w:rPr>
          <w:rFonts w:eastAsiaTheme="minorEastAsia"/>
        </w:rPr>
      </w:pPr>
    </w:p>
    <w:p>
      <w:pPr>
        <w:pStyle w:val="6"/>
        <w:ind w:firstLine="0" w:firstLineChars="0"/>
        <w:jc w:val="both"/>
        <w:rPr>
          <w:rFonts w:eastAsiaTheme="minorEastAsia"/>
        </w:rPr>
      </w:pPr>
    </w:p>
    <w:p>
      <w:pPr>
        <w:ind w:firstLine="1383" w:firstLineChars="492"/>
        <w:rPr>
          <w:rFonts w:eastAsiaTheme="minorEastAsia"/>
          <w:b/>
          <w:color w:val="000000"/>
          <w:sz w:val="28"/>
          <w:szCs w:val="28"/>
        </w:rPr>
      </w:pPr>
    </w:p>
    <w:p>
      <w:pPr>
        <w:pStyle w:val="2"/>
      </w:pPr>
    </w:p>
    <w:p>
      <w:pPr>
        <w:pStyle w:val="2"/>
      </w:pPr>
    </w:p>
    <w:p>
      <w:pPr>
        <w:pStyle w:val="2"/>
      </w:pPr>
    </w:p>
    <w:p>
      <w:pPr>
        <w:pStyle w:val="2"/>
      </w:pPr>
    </w:p>
    <w:p>
      <w:pPr>
        <w:spacing w:after="0" w:line="360" w:lineRule="auto"/>
        <w:rPr>
          <w:rFonts w:ascii="宋体" w:hAnsi="Calibri" w:eastAsia="宋体" w:cs="宋体"/>
          <w:color w:val="000000"/>
          <w:sz w:val="24"/>
          <w:szCs w:val="24"/>
        </w:rPr>
      </w:pPr>
    </w:p>
    <w:p>
      <w:pPr>
        <w:spacing w:after="0" w:line="360" w:lineRule="auto"/>
        <w:ind w:firstLine="1600" w:firstLineChars="500"/>
        <w:jc w:val="both"/>
        <w:rPr>
          <w:rFonts w:eastAsiaTheme="minorEastAsia"/>
          <w:color w:val="000000"/>
          <w:sz w:val="32"/>
          <w:szCs w:val="32"/>
        </w:rPr>
      </w:pPr>
      <w:r>
        <w:rPr>
          <w:rFonts w:eastAsiaTheme="minorEastAsia"/>
          <w:color w:val="000000"/>
          <w:sz w:val="32"/>
          <w:szCs w:val="32"/>
        </w:rPr>
        <w:t>建设单位：</w:t>
      </w:r>
      <w:r>
        <w:rPr>
          <w:rFonts w:hint="eastAsia" w:eastAsiaTheme="minorEastAsia"/>
          <w:color w:val="000000"/>
          <w:spacing w:val="-20"/>
          <w:sz w:val="32"/>
          <w:szCs w:val="32"/>
        </w:rPr>
        <w:t>贵州苗通生物医药开发有限公司</w:t>
      </w:r>
    </w:p>
    <w:p>
      <w:pPr>
        <w:spacing w:line="360" w:lineRule="auto"/>
        <w:jc w:val="both"/>
        <w:rPr>
          <w:rFonts w:eastAsiaTheme="minorEastAsia"/>
          <w:color w:val="000000"/>
          <w:spacing w:val="-20"/>
          <w:sz w:val="32"/>
          <w:szCs w:val="32"/>
        </w:rPr>
      </w:pPr>
      <w:r>
        <w:rPr>
          <w:rFonts w:hint="eastAsia" w:eastAsiaTheme="minorEastAsia"/>
          <w:color w:val="000000"/>
          <w:sz w:val="32"/>
          <w:szCs w:val="32"/>
        </w:rPr>
        <w:t xml:space="preserve">                </w:t>
      </w:r>
      <w:r>
        <w:rPr>
          <w:rFonts w:eastAsiaTheme="minorEastAsia"/>
          <w:color w:val="000000"/>
          <w:sz w:val="32"/>
          <w:szCs w:val="32"/>
        </w:rPr>
        <w:t>编制单位：</w:t>
      </w:r>
      <w:r>
        <w:rPr>
          <w:rFonts w:hint="eastAsia" w:eastAsiaTheme="minorEastAsia"/>
          <w:color w:val="000000"/>
          <w:spacing w:val="-20"/>
          <w:sz w:val="32"/>
          <w:szCs w:val="32"/>
        </w:rPr>
        <w:t>贵州省洪鑫环境检测服务有限公司</w:t>
      </w:r>
    </w:p>
    <w:p>
      <w:pPr>
        <w:jc w:val="center"/>
        <w:rPr>
          <w:rFonts w:ascii="宋体" w:hAnsi="宋体" w:eastAsia="宋体" w:cs="宋体"/>
          <w:bCs/>
          <w:sz w:val="66"/>
          <w:szCs w:val="66"/>
        </w:rPr>
      </w:pPr>
    </w:p>
    <w:p>
      <w:pPr>
        <w:pStyle w:val="6"/>
        <w:ind w:firstLine="0" w:firstLineChars="0"/>
        <w:rPr>
          <w:rFonts w:ascii="宋体" w:hAnsi="宋体" w:eastAsia="宋体" w:cs="宋体"/>
          <w:bCs/>
          <w:sz w:val="66"/>
          <w:szCs w:val="66"/>
        </w:rPr>
      </w:pPr>
    </w:p>
    <w:p>
      <w:pPr>
        <w:pStyle w:val="6"/>
        <w:ind w:firstLine="0" w:firstLineChars="0"/>
        <w:rPr>
          <w:rFonts w:ascii="宋体" w:hAnsi="宋体" w:eastAsia="宋体" w:cs="宋体"/>
          <w:bCs/>
          <w:sz w:val="66"/>
          <w:szCs w:val="66"/>
        </w:rPr>
      </w:pPr>
    </w:p>
    <w:p>
      <w:pPr>
        <w:pStyle w:val="6"/>
        <w:ind w:firstLine="0" w:firstLineChars="0"/>
        <w:rPr>
          <w:rFonts w:ascii="宋体" w:hAnsi="宋体" w:eastAsia="宋体" w:cs="宋体"/>
          <w:bCs/>
          <w:sz w:val="28"/>
          <w:szCs w:val="28"/>
        </w:rPr>
      </w:pPr>
    </w:p>
    <w:p>
      <w:pPr>
        <w:pStyle w:val="6"/>
        <w:ind w:firstLine="360"/>
        <w:jc w:val="center"/>
        <w:rPr>
          <w:rFonts w:ascii="宋体" w:hAnsi="宋体" w:eastAsia="宋体" w:cs="宋体"/>
          <w:sz w:val="36"/>
          <w:szCs w:val="36"/>
        </w:rPr>
      </w:pPr>
      <w:r>
        <w:rPr>
          <w:rFonts w:hint="eastAsia" w:ascii="宋体" w:hAnsi="宋体" w:eastAsia="宋体" w:cs="宋体"/>
          <w:sz w:val="36"/>
          <w:szCs w:val="36"/>
        </w:rPr>
        <w:t>二〇一九年二月</w:t>
      </w:r>
    </w:p>
    <w:p>
      <w:pPr>
        <w:pStyle w:val="6"/>
        <w:ind w:firstLine="0" w:firstLineChars="0"/>
        <w:rPr>
          <w:rFonts w:ascii="宋体" w:hAnsi="宋体" w:eastAsia="宋体" w:cs="宋体"/>
          <w:bCs/>
          <w:sz w:val="44"/>
          <w:szCs w:val="44"/>
        </w:rPr>
      </w:pPr>
    </w:p>
    <w:p>
      <w:pPr>
        <w:ind w:firstLine="720"/>
        <w:jc w:val="center"/>
        <w:rPr>
          <w:rFonts w:ascii="黑体" w:hAnsi="黑体" w:eastAsia="黑体" w:cs="仿宋"/>
          <w:sz w:val="36"/>
          <w:szCs w:val="36"/>
        </w:rPr>
      </w:pPr>
      <w:r>
        <w:rPr>
          <w:rFonts w:hint="eastAsia" w:ascii="黑体" w:hAnsi="黑体" w:eastAsia="黑体" w:cs="仿宋"/>
          <w:sz w:val="36"/>
          <w:szCs w:val="36"/>
        </w:rPr>
        <w:t>目   录</w:t>
      </w:r>
    </w:p>
    <w:p>
      <w:pPr>
        <w:pStyle w:val="20"/>
        <w:spacing w:after="0" w:line="240" w:lineRule="auto"/>
        <w:ind w:firstLine="560"/>
        <w:rPr>
          <w:sz w:val="28"/>
          <w:szCs w:val="28"/>
        </w:rPr>
      </w:pPr>
    </w:p>
    <w:p>
      <w:pPr>
        <w:pStyle w:val="52"/>
        <w:spacing w:after="0" w:line="360" w:lineRule="auto"/>
        <w:ind w:left="1419" w:leftChars="136" w:hanging="1120" w:hangingChars="400"/>
        <w:rPr>
          <w:rFonts w:ascii="宋体" w:hAnsi="宋体" w:eastAsia="宋体" w:cs="宋体"/>
          <w:color w:val="000000"/>
          <w:sz w:val="28"/>
          <w:szCs w:val="28"/>
        </w:rPr>
      </w:pPr>
      <w:r>
        <w:rPr>
          <w:rFonts w:hint="eastAsia" w:ascii="宋体" w:hAnsi="宋体" w:eastAsia="宋体" w:cs="宋体"/>
          <w:color w:val="000000"/>
          <w:sz w:val="28"/>
          <w:szCs w:val="28"/>
        </w:rPr>
        <w:t>第一部分：兴义市苗通外用膏贴生产线建设项目竣工</w:t>
      </w:r>
    </w:p>
    <w:p>
      <w:pPr>
        <w:pStyle w:val="52"/>
        <w:spacing w:after="0" w:line="360" w:lineRule="auto"/>
        <w:ind w:left="1498" w:leftChars="681" w:firstLine="280" w:firstLineChars="100"/>
        <w:rPr>
          <w:rFonts w:ascii="宋体" w:hAnsi="宋体" w:eastAsia="宋体" w:cs="宋体"/>
          <w:sz w:val="28"/>
          <w:szCs w:val="28"/>
        </w:rPr>
      </w:pPr>
      <w:r>
        <w:rPr>
          <w:rFonts w:hint="eastAsia" w:ascii="宋体" w:hAnsi="宋体" w:eastAsia="宋体" w:cs="宋体"/>
          <w:color w:val="000000"/>
          <w:sz w:val="28"/>
          <w:szCs w:val="28"/>
        </w:rPr>
        <w:t>环境保护验收监测报告表</w:t>
      </w:r>
    </w:p>
    <w:p>
      <w:pPr>
        <w:pStyle w:val="52"/>
        <w:spacing w:after="0" w:line="360" w:lineRule="auto"/>
        <w:ind w:left="1419" w:leftChars="136" w:hanging="1120" w:hangingChars="400"/>
        <w:rPr>
          <w:rFonts w:ascii="宋体" w:hAnsi="宋体" w:eastAsia="宋体" w:cs="宋体"/>
          <w:color w:val="000000"/>
          <w:sz w:val="28"/>
          <w:szCs w:val="28"/>
        </w:rPr>
      </w:pPr>
      <w:r>
        <w:rPr>
          <w:rFonts w:hint="eastAsia" w:ascii="宋体" w:hAnsi="宋体" w:eastAsia="宋体" w:cs="宋体"/>
          <w:color w:val="000000"/>
          <w:sz w:val="28"/>
          <w:szCs w:val="28"/>
        </w:rPr>
        <w:t>第二部分：兴义市苗通外用膏贴生产线建设项目竣工</w:t>
      </w:r>
    </w:p>
    <w:p>
      <w:pPr>
        <w:pStyle w:val="52"/>
        <w:spacing w:after="0" w:line="360" w:lineRule="auto"/>
        <w:ind w:left="1498" w:leftChars="681" w:firstLine="280" w:firstLineChars="100"/>
        <w:rPr>
          <w:rFonts w:ascii="宋体" w:hAnsi="宋体" w:eastAsia="宋体" w:cs="宋体"/>
          <w:color w:val="000000"/>
          <w:sz w:val="28"/>
          <w:szCs w:val="28"/>
        </w:rPr>
      </w:pPr>
      <w:r>
        <w:rPr>
          <w:rFonts w:hint="eastAsia" w:ascii="宋体" w:hAnsi="宋体" w:eastAsia="宋体" w:cs="宋体"/>
          <w:color w:val="000000"/>
          <w:sz w:val="28"/>
          <w:szCs w:val="28"/>
        </w:rPr>
        <w:t>环境保护验收意见</w:t>
      </w:r>
    </w:p>
    <w:p>
      <w:pPr>
        <w:pStyle w:val="52"/>
        <w:spacing w:after="0" w:line="360" w:lineRule="auto"/>
        <w:ind w:left="1419" w:leftChars="136" w:hanging="1120" w:hangingChars="400"/>
        <w:rPr>
          <w:rFonts w:ascii="宋体" w:hAnsi="宋体" w:eastAsia="宋体" w:cs="宋体"/>
          <w:color w:val="000000"/>
          <w:sz w:val="28"/>
          <w:szCs w:val="28"/>
        </w:rPr>
      </w:pPr>
      <w:r>
        <w:rPr>
          <w:rFonts w:hint="eastAsia" w:ascii="宋体" w:hAnsi="宋体" w:eastAsia="宋体" w:cs="宋体"/>
          <w:color w:val="000000"/>
          <w:sz w:val="28"/>
          <w:szCs w:val="28"/>
        </w:rPr>
        <w:t>第三部分：其他说明事项</w:t>
      </w:r>
    </w:p>
    <w:p>
      <w:pPr>
        <w:pStyle w:val="52"/>
        <w:spacing w:after="0" w:line="360" w:lineRule="auto"/>
        <w:ind w:left="1400" w:hanging="1400" w:hangingChars="500"/>
        <w:rPr>
          <w:rFonts w:ascii="宋体" w:hAnsi="宋体" w:eastAsia="宋体" w:cs="宋体"/>
          <w:color w:val="000000"/>
          <w:sz w:val="28"/>
          <w:szCs w:val="28"/>
        </w:rPr>
      </w:pPr>
      <w:r>
        <w:rPr>
          <w:rFonts w:hint="eastAsia" w:ascii="宋体" w:hAnsi="宋体" w:eastAsia="宋体" w:cs="宋体"/>
          <w:color w:val="000000"/>
          <w:sz w:val="28"/>
          <w:szCs w:val="28"/>
        </w:rPr>
        <w:t xml:space="preserve"> </w:t>
      </w:r>
    </w:p>
    <w:p>
      <w:pPr>
        <w:pStyle w:val="52"/>
        <w:spacing w:after="0" w:line="360" w:lineRule="auto"/>
        <w:ind w:firstLine="281" w:firstLineChars="100"/>
        <w:rPr>
          <w:rFonts w:ascii="宋体" w:hAnsi="宋体" w:eastAsia="宋体" w:cs="宋体"/>
          <w:b/>
          <w:color w:val="000000"/>
          <w:sz w:val="28"/>
          <w:szCs w:val="28"/>
        </w:rPr>
      </w:pPr>
      <w:r>
        <w:rPr>
          <w:rFonts w:hint="eastAsia" w:ascii="宋体" w:hAnsi="宋体" w:eastAsia="宋体" w:cs="宋体"/>
          <w:b/>
          <w:color w:val="000000"/>
          <w:sz w:val="28"/>
          <w:szCs w:val="28"/>
        </w:rPr>
        <w:t>附件：</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附件1、验收</w:t>
      </w:r>
      <w:r>
        <w:rPr>
          <w:rStyle w:val="17"/>
          <w:rFonts w:hint="eastAsia" w:ascii="宋体" w:hAnsi="宋体" w:eastAsia="宋体" w:cs="宋体"/>
          <w:sz w:val="28"/>
          <w:szCs w:val="28"/>
        </w:rPr>
        <w:t>检测</w:t>
      </w:r>
      <w:r>
        <w:rPr>
          <w:rFonts w:hint="eastAsia" w:ascii="宋体" w:hAnsi="宋体" w:eastAsia="宋体" w:cs="宋体"/>
          <w:color w:val="000000"/>
          <w:sz w:val="28"/>
          <w:szCs w:val="28"/>
        </w:rPr>
        <w:t>委托书</w:t>
      </w:r>
    </w:p>
    <w:p>
      <w:pPr>
        <w:pStyle w:val="52"/>
        <w:spacing w:after="0" w:line="360" w:lineRule="auto"/>
        <w:ind w:left="277" w:leftChars="126"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附件2、《兴义市苗通外用膏贴生产线建设项目</w:t>
      </w:r>
    </w:p>
    <w:p>
      <w:pPr>
        <w:pStyle w:val="52"/>
        <w:spacing w:after="0" w:line="360" w:lineRule="auto"/>
        <w:ind w:left="277" w:leftChars="126" w:firstLine="1680" w:firstLineChars="600"/>
        <w:rPr>
          <w:rFonts w:ascii="宋体" w:hAnsi="宋体" w:eastAsia="宋体" w:cs="宋体"/>
          <w:color w:val="000000"/>
          <w:sz w:val="28"/>
          <w:szCs w:val="28"/>
        </w:rPr>
      </w:pPr>
      <w:r>
        <w:rPr>
          <w:rFonts w:hint="eastAsia" w:ascii="宋体" w:hAnsi="宋体" w:eastAsia="宋体" w:cs="宋体"/>
          <w:color w:val="000000"/>
          <w:sz w:val="28"/>
          <w:szCs w:val="28"/>
        </w:rPr>
        <w:t>环境影响报告表》核准意见</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附件3、环境保护验收一览表</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附件4、验收检测报告</w:t>
      </w:r>
    </w:p>
    <w:p>
      <w:pPr>
        <w:pStyle w:val="52"/>
        <w:spacing w:after="0" w:line="360" w:lineRule="auto"/>
        <w:ind w:left="1406" w:leftChars="128" w:hanging="1124" w:hangingChars="400"/>
        <w:rPr>
          <w:rFonts w:ascii="宋体" w:hAnsi="宋体" w:eastAsia="宋体" w:cs="宋体"/>
          <w:b/>
          <w:color w:val="000000"/>
          <w:sz w:val="28"/>
          <w:szCs w:val="28"/>
        </w:rPr>
      </w:pPr>
      <w:r>
        <w:rPr>
          <w:rFonts w:hint="eastAsia" w:ascii="宋体" w:hAnsi="宋体" w:eastAsia="宋体" w:cs="宋体"/>
          <w:b/>
          <w:color w:val="000000"/>
          <w:sz w:val="28"/>
          <w:szCs w:val="28"/>
        </w:rPr>
        <w:t>附图：</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附图1、地理位置图</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附图2、外环境关系图</w:t>
      </w:r>
    </w:p>
    <w:p>
      <w:pPr>
        <w:pStyle w:val="52"/>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附图3、现场及环保设施图</w:t>
      </w:r>
    </w:p>
    <w:p>
      <w:pPr>
        <w:pStyle w:val="52"/>
        <w:spacing w:after="0" w:line="360" w:lineRule="auto"/>
        <w:rPr>
          <w:rFonts w:ascii="宋体" w:hAnsi="宋体" w:eastAsia="宋体" w:cs="宋体"/>
          <w:color w:val="000000"/>
          <w:sz w:val="32"/>
          <w:szCs w:val="32"/>
        </w:rPr>
      </w:pPr>
    </w:p>
    <w:p>
      <w:pPr>
        <w:pStyle w:val="52"/>
        <w:spacing w:after="0" w:line="360" w:lineRule="auto"/>
        <w:ind w:left="1600" w:hanging="1600" w:hangingChars="500"/>
        <w:rPr>
          <w:rFonts w:ascii="宋体" w:hAnsi="宋体" w:eastAsia="宋体" w:cs="宋体"/>
          <w:color w:val="00000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20" w:num="1"/>
          <w:docGrid w:linePitch="360" w:charSpace="0"/>
        </w:sectPr>
      </w:pPr>
    </w:p>
    <w:p>
      <w:pPr>
        <w:pStyle w:val="20"/>
        <w:spacing w:after="0"/>
        <w:ind w:firstLine="0" w:firstLineChars="0"/>
        <w:jc w:val="both"/>
        <w:rPr>
          <w:rFonts w:eastAsia="宋体"/>
          <w:b/>
          <w:bCs/>
          <w:sz w:val="44"/>
          <w:szCs w:val="44"/>
        </w:rPr>
      </w:pPr>
    </w:p>
    <w:p>
      <w:pPr>
        <w:pStyle w:val="6"/>
        <w:ind w:firstLine="220"/>
      </w:pPr>
    </w:p>
    <w:p>
      <w:pPr>
        <w:pStyle w:val="6"/>
        <w:ind w:firstLine="220"/>
      </w:pPr>
    </w:p>
    <w:p>
      <w:pPr>
        <w:pStyle w:val="6"/>
        <w:ind w:firstLine="220"/>
      </w:pPr>
    </w:p>
    <w:p>
      <w:pPr>
        <w:pStyle w:val="6"/>
        <w:ind w:firstLine="220"/>
      </w:pPr>
    </w:p>
    <w:p>
      <w:pPr>
        <w:pStyle w:val="6"/>
        <w:ind w:firstLine="220"/>
      </w:pPr>
    </w:p>
    <w:p>
      <w:pPr>
        <w:pStyle w:val="6"/>
        <w:ind w:firstLine="220"/>
      </w:pPr>
    </w:p>
    <w:p>
      <w:pPr>
        <w:pStyle w:val="20"/>
        <w:spacing w:after="0"/>
        <w:ind w:firstLine="0" w:firstLineChars="0"/>
        <w:jc w:val="center"/>
        <w:rPr>
          <w:rFonts w:eastAsia="宋体"/>
          <w:b/>
          <w:bCs/>
          <w:sz w:val="72"/>
          <w:szCs w:val="72"/>
        </w:rPr>
      </w:pPr>
      <w:r>
        <w:rPr>
          <w:rFonts w:hint="eastAsia" w:eastAsia="宋体"/>
          <w:b/>
          <w:bCs/>
          <w:sz w:val="72"/>
          <w:szCs w:val="72"/>
        </w:rPr>
        <w:t>第</w:t>
      </w:r>
    </w:p>
    <w:p>
      <w:pPr>
        <w:pStyle w:val="6"/>
        <w:spacing w:after="0" w:line="360" w:lineRule="auto"/>
        <w:ind w:firstLine="0" w:firstLineChars="0"/>
        <w:jc w:val="center"/>
        <w:rPr>
          <w:rFonts w:ascii="宋体" w:hAnsi="宋体" w:eastAsia="宋体" w:cs="宋体"/>
          <w:b/>
          <w:bCs/>
          <w:sz w:val="72"/>
          <w:szCs w:val="72"/>
        </w:rPr>
      </w:pPr>
      <w:r>
        <w:rPr>
          <w:rFonts w:hint="eastAsia" w:ascii="宋体" w:hAnsi="宋体" w:eastAsia="宋体" w:cs="宋体"/>
          <w:b/>
          <w:bCs/>
          <w:sz w:val="72"/>
          <w:szCs w:val="72"/>
        </w:rPr>
        <w:t>一</w:t>
      </w:r>
    </w:p>
    <w:p>
      <w:pPr>
        <w:pStyle w:val="6"/>
        <w:spacing w:after="0" w:line="360" w:lineRule="auto"/>
        <w:ind w:firstLine="0" w:firstLineChars="0"/>
        <w:jc w:val="center"/>
        <w:rPr>
          <w:rFonts w:ascii="宋体" w:hAnsi="宋体" w:eastAsia="宋体" w:cs="宋体"/>
          <w:b/>
          <w:bCs/>
          <w:sz w:val="72"/>
          <w:szCs w:val="72"/>
        </w:rPr>
      </w:pPr>
      <w:r>
        <w:rPr>
          <w:rFonts w:hint="eastAsia" w:ascii="宋体" w:hAnsi="宋体" w:eastAsia="宋体" w:cs="宋体"/>
          <w:b/>
          <w:bCs/>
          <w:sz w:val="72"/>
          <w:szCs w:val="72"/>
        </w:rPr>
        <w:t>部</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72"/>
          <w:szCs w:val="72"/>
        </w:rPr>
        <w:t>份</w:t>
      </w:r>
    </w:p>
    <w:p>
      <w:pPr>
        <w:pStyle w:val="6"/>
        <w:ind w:firstLine="660"/>
        <w:rPr>
          <w:rFonts w:ascii="宋体" w:hAnsi="宋体" w:eastAsia="宋体" w:cs="宋体"/>
          <w:bCs/>
          <w:sz w:val="66"/>
          <w:szCs w:val="66"/>
        </w:rPr>
      </w:pPr>
    </w:p>
    <w:p>
      <w:pPr>
        <w:pStyle w:val="6"/>
        <w:ind w:firstLine="660"/>
        <w:rPr>
          <w:rFonts w:ascii="宋体" w:hAnsi="宋体" w:eastAsia="宋体" w:cs="宋体"/>
          <w:bCs/>
          <w:sz w:val="66"/>
          <w:szCs w:val="66"/>
        </w:rPr>
      </w:pPr>
    </w:p>
    <w:p>
      <w:pPr>
        <w:pStyle w:val="6"/>
        <w:ind w:firstLine="660"/>
        <w:rPr>
          <w:rFonts w:ascii="宋体" w:hAnsi="宋体" w:eastAsia="宋体" w:cs="宋体"/>
          <w:bCs/>
          <w:sz w:val="66"/>
          <w:szCs w:val="66"/>
        </w:rPr>
      </w:pPr>
    </w:p>
    <w:p>
      <w:pPr>
        <w:pStyle w:val="6"/>
        <w:ind w:firstLine="660"/>
        <w:rPr>
          <w:rFonts w:ascii="宋体" w:hAnsi="宋体" w:eastAsia="宋体" w:cs="宋体"/>
          <w:bCs/>
          <w:sz w:val="66"/>
          <w:szCs w:val="66"/>
        </w:rPr>
      </w:pPr>
    </w:p>
    <w:p>
      <w:pPr>
        <w:pStyle w:val="6"/>
        <w:ind w:firstLine="0" w:firstLineChars="0"/>
        <w:rPr>
          <w:rFonts w:ascii="宋体" w:hAnsi="宋体" w:eastAsia="宋体" w:cs="宋体"/>
          <w:bCs/>
          <w:sz w:val="66"/>
          <w:szCs w:val="66"/>
        </w:rPr>
      </w:pPr>
    </w:p>
    <w:p>
      <w:pPr>
        <w:pStyle w:val="6"/>
        <w:ind w:firstLine="0" w:firstLineChars="0"/>
        <w:rPr>
          <w:rFonts w:ascii="宋体" w:hAnsi="宋体" w:eastAsia="宋体" w:cs="宋体"/>
          <w:bCs/>
          <w:sz w:val="13"/>
          <w:szCs w:val="13"/>
        </w:rPr>
      </w:pPr>
    </w:p>
    <w:p>
      <w:pPr>
        <w:spacing w:after="0" w:line="360" w:lineRule="auto"/>
        <w:jc w:val="center"/>
        <w:rPr>
          <w:rFonts w:hint="eastAsia" w:ascii="宋体" w:hAnsi="宋体" w:eastAsia="宋体" w:cs="宋体"/>
          <w:b/>
          <w:spacing w:val="-32"/>
          <w:w w:val="70"/>
          <w:sz w:val="32"/>
          <w:szCs w:val="32"/>
        </w:rPr>
      </w:pPr>
    </w:p>
    <w:p>
      <w:pPr>
        <w:pStyle w:val="2"/>
        <w:rPr>
          <w:rFonts w:hint="eastAsia"/>
        </w:rPr>
      </w:pPr>
    </w:p>
    <w:p>
      <w:pPr>
        <w:pStyle w:val="2"/>
      </w:pPr>
    </w:p>
    <w:p>
      <w:pPr>
        <w:spacing w:after="0" w:line="360" w:lineRule="auto"/>
        <w:jc w:val="center"/>
        <w:rPr>
          <w:rFonts w:ascii="宋体" w:hAnsi="宋体" w:eastAsia="宋体" w:cs="宋体"/>
          <w:b/>
          <w:spacing w:val="-32"/>
          <w:w w:val="70"/>
          <w:sz w:val="44"/>
          <w:szCs w:val="44"/>
        </w:rPr>
      </w:pPr>
      <w:r>
        <w:rPr>
          <w:rFonts w:hint="eastAsia" w:ascii="宋体" w:hAnsi="宋体" w:eastAsia="宋体" w:cs="宋体"/>
          <w:b/>
          <w:w w:val="70"/>
          <w:sz w:val="44"/>
          <w:szCs w:val="44"/>
        </w:rPr>
        <w:t>兴义市苗通外用膏贴生产线建设项目竣工环境保护</w:t>
      </w:r>
    </w:p>
    <w:p>
      <w:pPr>
        <w:ind w:left="1670" w:hanging="1562" w:hangingChars="246"/>
        <w:jc w:val="center"/>
        <w:rPr>
          <w:rFonts w:ascii="Times New Roman" w:hAnsi="Times New Roman" w:eastAsia="宋体"/>
          <w:b/>
          <w:bCs/>
          <w:spacing w:val="-44"/>
          <w:sz w:val="72"/>
          <w:szCs w:val="72"/>
        </w:rPr>
      </w:pPr>
      <w:r>
        <w:rPr>
          <w:rFonts w:ascii="Times New Roman" w:hAnsi="Times New Roman" w:eastAsia="宋体"/>
          <w:b/>
          <w:bCs/>
          <w:spacing w:val="-44"/>
          <w:sz w:val="72"/>
          <w:szCs w:val="72"/>
        </w:rPr>
        <w:t>验收监测报告表</w:t>
      </w:r>
    </w:p>
    <w:p>
      <w:pPr>
        <w:jc w:val="distribute"/>
        <w:rPr>
          <w:rFonts w:ascii="Times New Roman" w:hAnsi="Times New Roman"/>
        </w:rPr>
      </w:pPr>
    </w:p>
    <w:p>
      <w:pPr>
        <w:jc w:val="distribute"/>
        <w:rPr>
          <w:rFonts w:ascii="Times New Roman" w:hAnsi="Times New Roman"/>
        </w:rPr>
      </w:pPr>
    </w:p>
    <w:p>
      <w:pPr>
        <w:jc w:val="distribute"/>
        <w:rPr>
          <w:rFonts w:ascii="Times New Roman" w:hAnsi="Times New Roman"/>
        </w:rPr>
      </w:pPr>
    </w:p>
    <w:p>
      <w:pPr>
        <w:pStyle w:val="20"/>
        <w:ind w:firstLine="480"/>
      </w:pPr>
    </w:p>
    <w:p>
      <w:pPr>
        <w:pStyle w:val="6"/>
        <w:ind w:firstLine="220"/>
      </w:pPr>
    </w:p>
    <w:p>
      <w:pPr>
        <w:pStyle w:val="6"/>
        <w:ind w:firstLine="220"/>
      </w:pPr>
    </w:p>
    <w:p>
      <w:pPr>
        <w:spacing w:line="700" w:lineRule="exact"/>
        <w:outlineLvl w:val="0"/>
        <w:rPr>
          <w:rFonts w:ascii="Times New Roman" w:hAnsi="Times New Roman" w:eastAsia="宋体"/>
          <w:b/>
          <w:sz w:val="36"/>
          <w:szCs w:val="36"/>
        </w:rPr>
      </w:pPr>
      <w:r>
        <w:rPr>
          <w:rFonts w:hint="eastAsia" w:ascii="Times New Roman" w:hAnsi="Times New Roman" w:eastAsia="宋体"/>
          <w:b/>
          <w:sz w:val="36"/>
          <w:szCs w:val="36"/>
        </w:rPr>
        <w:t xml:space="preserve"> </w:t>
      </w:r>
    </w:p>
    <w:p>
      <w:pPr>
        <w:pStyle w:val="2"/>
      </w:pPr>
    </w:p>
    <w:p>
      <w:pPr>
        <w:widowControl w:val="0"/>
        <w:adjustRightInd/>
        <w:snapToGrid/>
        <w:spacing w:line="360" w:lineRule="auto"/>
        <w:ind w:firstLine="964" w:firstLineChars="300"/>
        <w:jc w:val="both"/>
        <w:rPr>
          <w:rFonts w:ascii="宋体" w:hAnsi="宋体" w:eastAsia="宋体" w:cs="宋体"/>
          <w:b/>
          <w:bCs/>
          <w:spacing w:val="-18"/>
          <w:kern w:val="2"/>
          <w:sz w:val="32"/>
          <w:szCs w:val="32"/>
        </w:rPr>
      </w:pPr>
      <w:r>
        <w:rPr>
          <w:rFonts w:hint="eastAsia" w:ascii="宋体" w:hAnsi="宋体" w:eastAsia="宋体" w:cs="宋体"/>
          <w:b/>
          <w:bCs/>
          <w:kern w:val="2"/>
          <w:sz w:val="32"/>
          <w:szCs w:val="32"/>
        </w:rPr>
        <w:t>建设单位：</w:t>
      </w:r>
      <w:r>
        <w:rPr>
          <w:rFonts w:hint="eastAsia" w:ascii="宋体" w:hAnsi="宋体" w:eastAsia="宋体" w:cs="宋体"/>
          <w:snapToGrid w:val="0"/>
          <w:spacing w:val="-18"/>
          <w:sz w:val="32"/>
          <w:szCs w:val="32"/>
          <w:u w:val="single"/>
        </w:rPr>
        <w:t xml:space="preserve"> 贵州苗通生物医药开发有限公司   </w:t>
      </w:r>
    </w:p>
    <w:p>
      <w:pPr>
        <w:pStyle w:val="46"/>
        <w:spacing w:line="360" w:lineRule="auto"/>
        <w:ind w:firstLine="964" w:firstLineChars="300"/>
        <w:rPr>
          <w:rFonts w:ascii="宋体" w:hAnsi="宋体" w:eastAsia="宋体" w:cs="宋体"/>
          <w:bCs/>
          <w:snapToGrid w:val="0"/>
          <w:sz w:val="32"/>
          <w:szCs w:val="32"/>
        </w:rPr>
      </w:pPr>
      <w:r>
        <w:rPr>
          <w:rFonts w:hint="eastAsia" w:ascii="宋体" w:hAnsi="宋体" w:eastAsia="宋体" w:cs="宋体"/>
          <w:b/>
          <w:bCs/>
          <w:sz w:val="32"/>
          <w:szCs w:val="32"/>
        </w:rPr>
        <w:t>编制单位：</w:t>
      </w:r>
      <w:r>
        <w:rPr>
          <w:rFonts w:hint="eastAsia" w:ascii="宋体" w:hAnsi="宋体" w:eastAsia="宋体" w:cs="宋体"/>
          <w:spacing w:val="-20"/>
          <w:sz w:val="32"/>
          <w:szCs w:val="32"/>
          <w:u w:val="single"/>
        </w:rPr>
        <w:t xml:space="preserve"> 贵州省洪鑫环境检测服务有限公司 </w:t>
      </w:r>
    </w:p>
    <w:p>
      <w:pPr>
        <w:rPr>
          <w:rFonts w:ascii="Times New Roman" w:hAnsi="Times New Roman" w:eastAsia="宋体"/>
          <w:b/>
          <w:snapToGrid w:val="0"/>
          <w:color w:val="FF0000"/>
          <w:kern w:val="10"/>
          <w:sz w:val="36"/>
          <w:szCs w:val="36"/>
        </w:rPr>
      </w:pPr>
    </w:p>
    <w:p>
      <w:pPr>
        <w:pStyle w:val="20"/>
        <w:ind w:firstLine="723"/>
        <w:rPr>
          <w:rFonts w:ascii="Times New Roman" w:hAnsi="Times New Roman" w:eastAsia="宋体" w:cs="Times New Roman"/>
          <w:b/>
          <w:color w:val="FF0000"/>
          <w:kern w:val="10"/>
          <w:sz w:val="36"/>
          <w:szCs w:val="36"/>
        </w:rPr>
      </w:pPr>
    </w:p>
    <w:p>
      <w:pPr>
        <w:pStyle w:val="20"/>
        <w:ind w:firstLine="723"/>
        <w:rPr>
          <w:rFonts w:ascii="Times New Roman" w:hAnsi="Times New Roman" w:eastAsia="宋体" w:cs="Times New Roman"/>
          <w:b/>
          <w:color w:val="FF0000"/>
          <w:kern w:val="10"/>
          <w:sz w:val="36"/>
          <w:szCs w:val="36"/>
        </w:rPr>
      </w:pPr>
    </w:p>
    <w:p>
      <w:pPr>
        <w:pStyle w:val="20"/>
        <w:ind w:firstLine="0" w:firstLineChars="0"/>
        <w:rPr>
          <w:rFonts w:ascii="Times New Roman" w:hAnsi="Times New Roman" w:eastAsia="宋体" w:cs="Times New Roman"/>
          <w:b/>
          <w:color w:val="FF0000"/>
          <w:kern w:val="10"/>
          <w:sz w:val="36"/>
          <w:szCs w:val="36"/>
        </w:rPr>
      </w:pPr>
    </w:p>
    <w:p>
      <w:pPr>
        <w:pStyle w:val="6"/>
        <w:ind w:firstLine="220"/>
      </w:pPr>
    </w:p>
    <w:p>
      <w:pPr>
        <w:pStyle w:val="6"/>
        <w:ind w:firstLine="220"/>
        <w:rPr>
          <w:rFonts w:ascii="宋体" w:hAnsi="宋体" w:eastAsia="宋体" w:cs="宋体"/>
        </w:rPr>
      </w:pPr>
    </w:p>
    <w:p>
      <w:pPr>
        <w:pStyle w:val="6"/>
        <w:ind w:firstLine="0" w:firstLineChars="0"/>
      </w:pPr>
    </w:p>
    <w:p>
      <w:pPr>
        <w:jc w:val="center"/>
        <w:rPr>
          <w:rFonts w:ascii="仿宋_GB2312" w:eastAsia="宋体"/>
          <w:b/>
          <w:color w:val="000000"/>
          <w:sz w:val="28"/>
        </w:rPr>
        <w:sectPr>
          <w:footerReference r:id="rId9" w:type="default"/>
          <w:pgSz w:w="11906" w:h="16838"/>
          <w:pgMar w:top="1440" w:right="1800" w:bottom="1440" w:left="1800" w:header="708" w:footer="708" w:gutter="0"/>
          <w:cols w:space="720" w:num="1"/>
          <w:docGrid w:linePitch="360" w:charSpace="0"/>
        </w:sectPr>
      </w:pPr>
      <w:r>
        <w:rPr>
          <w:rFonts w:hint="eastAsia" w:ascii="宋体" w:hAnsi="宋体" w:eastAsia="宋体" w:cs="宋体"/>
          <w:b/>
          <w:snapToGrid w:val="0"/>
          <w:kern w:val="10"/>
          <w:sz w:val="32"/>
          <w:szCs w:val="32"/>
        </w:rPr>
        <w:t>二〇一九年二月</w:t>
      </w:r>
    </w:p>
    <w:p>
      <w:pPr>
        <w:pStyle w:val="6"/>
        <w:ind w:firstLine="0" w:firstLineChars="0"/>
        <w:rPr>
          <w:rFonts w:hAnsi="Arial" w:eastAsia="仿宋_GB2312"/>
          <w:b/>
          <w:color w:val="000000"/>
          <w:sz w:val="21"/>
          <w:szCs w:val="21"/>
        </w:rPr>
      </w:pPr>
    </w:p>
    <w:p>
      <w:pPr>
        <w:spacing w:line="720" w:lineRule="auto"/>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color w:val="000000"/>
          <w:sz w:val="28"/>
        </w:rPr>
        <w:t xml:space="preserve">          （签章）</w:t>
      </w:r>
    </w:p>
    <w:p>
      <w:pPr>
        <w:spacing w:line="720" w:lineRule="auto"/>
        <w:rPr>
          <w:rFonts w:ascii="仿宋_GB2312" w:eastAsia="仿宋_GB2312"/>
          <w:color w:val="000000"/>
          <w:sz w:val="28"/>
        </w:rPr>
      </w:pPr>
      <w:r>
        <w:rPr>
          <w:rFonts w:hint="eastAsia" w:ascii="仿宋_GB2312" w:eastAsia="仿宋_GB2312"/>
          <w:b/>
          <w:color w:val="000000"/>
          <w:sz w:val="28"/>
        </w:rPr>
        <w:t>编制单位法人代表：</w:t>
      </w:r>
      <w:r>
        <w:rPr>
          <w:rFonts w:hint="eastAsia" w:ascii="仿宋_GB2312" w:eastAsia="仿宋_GB2312"/>
          <w:color w:val="000000"/>
          <w:sz w:val="28"/>
        </w:rPr>
        <w:t xml:space="preserve">          （签章）</w:t>
      </w:r>
    </w:p>
    <w:p>
      <w:pPr>
        <w:spacing w:line="720" w:lineRule="auto"/>
        <w:rPr>
          <w:rFonts w:ascii="仿宋_GB2312" w:eastAsia="仿宋_GB2312"/>
          <w:b/>
          <w:color w:val="000000"/>
          <w:sz w:val="28"/>
        </w:rPr>
      </w:pPr>
      <w:r>
        <w:rPr>
          <w:rFonts w:ascii="仿宋_GB2312" w:eastAsia="仿宋_GB2312"/>
          <w:b/>
          <w:color w:val="000000"/>
          <w:sz w:val="28"/>
        </w:rPr>
        <w:t>项目负责：</w:t>
      </w:r>
    </w:p>
    <w:p>
      <w:pPr>
        <w:spacing w:line="720" w:lineRule="auto"/>
        <w:rPr>
          <w:rFonts w:ascii="仿宋_GB2312" w:eastAsia="仿宋_GB2312"/>
          <w:b/>
          <w:color w:val="000000"/>
          <w:sz w:val="28"/>
        </w:rPr>
      </w:pPr>
      <w:r>
        <w:rPr>
          <w:rFonts w:ascii="仿宋_GB2312" w:eastAsia="仿宋_GB2312"/>
          <w:b/>
          <w:color w:val="000000"/>
          <w:sz w:val="28"/>
        </w:rPr>
        <w:t>报告编制：</w:t>
      </w:r>
    </w:p>
    <w:p>
      <w:pPr>
        <w:pStyle w:val="20"/>
        <w:spacing w:line="480" w:lineRule="auto"/>
        <w:ind w:firstLine="0" w:firstLineChars="0"/>
        <w:rPr>
          <w:rFonts w:ascii="仿宋" w:hAnsi="仿宋" w:eastAsia="仿宋" w:cs="仿宋"/>
          <w:color w:val="191F25"/>
          <w:sz w:val="28"/>
          <w:szCs w:val="28"/>
          <w:shd w:val="clear" w:color="auto" w:fill="FFFFFF"/>
        </w:rPr>
      </w:pPr>
    </w:p>
    <w:p>
      <w:pPr>
        <w:pStyle w:val="6"/>
        <w:ind w:firstLine="280"/>
        <w:rPr>
          <w:rFonts w:ascii="仿宋" w:hAnsi="仿宋" w:eastAsia="仿宋" w:cs="仿宋"/>
          <w:color w:val="191F25"/>
          <w:sz w:val="28"/>
          <w:szCs w:val="28"/>
          <w:shd w:val="clear" w:color="auto" w:fill="FFFFFF"/>
        </w:rPr>
      </w:pPr>
    </w:p>
    <w:p>
      <w:pPr>
        <w:pStyle w:val="6"/>
        <w:ind w:firstLine="280"/>
        <w:rPr>
          <w:rFonts w:ascii="仿宋" w:hAnsi="仿宋" w:eastAsia="仿宋" w:cs="仿宋"/>
          <w:color w:val="191F25"/>
          <w:sz w:val="28"/>
          <w:szCs w:val="28"/>
          <w:shd w:val="clear" w:color="auto" w:fill="FFFFFF"/>
        </w:rPr>
      </w:pPr>
    </w:p>
    <w:p>
      <w:pPr>
        <w:pStyle w:val="6"/>
        <w:ind w:firstLine="280"/>
        <w:rPr>
          <w:rFonts w:ascii="仿宋" w:hAnsi="仿宋" w:eastAsia="仿宋" w:cs="仿宋"/>
          <w:color w:val="191F25"/>
          <w:sz w:val="28"/>
          <w:szCs w:val="28"/>
          <w:shd w:val="clear" w:color="auto" w:fill="FFFFFF"/>
        </w:rPr>
      </w:pPr>
    </w:p>
    <w:p>
      <w:pPr>
        <w:pStyle w:val="6"/>
        <w:ind w:firstLine="280"/>
        <w:rPr>
          <w:rFonts w:ascii="仿宋" w:hAnsi="仿宋" w:eastAsia="仿宋" w:cs="仿宋"/>
          <w:color w:val="191F25"/>
          <w:sz w:val="28"/>
          <w:szCs w:val="28"/>
          <w:shd w:val="clear" w:color="auto" w:fill="FFFFFF"/>
        </w:rPr>
      </w:pPr>
    </w:p>
    <w:p>
      <w:pPr>
        <w:pStyle w:val="6"/>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建设单位：贵州苗通生物医药开发有限公司（盖章）</w:t>
      </w:r>
    </w:p>
    <w:p>
      <w:pPr>
        <w:pStyle w:val="6"/>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电话:                                </w:t>
      </w:r>
    </w:p>
    <w:p>
      <w:pPr>
        <w:pStyle w:val="6"/>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传真:                                </w:t>
      </w:r>
    </w:p>
    <w:p>
      <w:pPr>
        <w:pStyle w:val="6"/>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邮编:                                </w:t>
      </w:r>
    </w:p>
    <w:p>
      <w:pPr>
        <w:pStyle w:val="6"/>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 xml:space="preserve">地址:                                </w:t>
      </w:r>
    </w:p>
    <w:p>
      <w:pPr>
        <w:pStyle w:val="20"/>
        <w:ind w:firstLine="0" w:firstLineChars="0"/>
        <w:rPr>
          <w:rFonts w:ascii="仿宋" w:hAnsi="仿宋" w:eastAsia="仿宋" w:cs="仿宋"/>
          <w:color w:val="191F25"/>
          <w:sz w:val="28"/>
          <w:szCs w:val="28"/>
          <w:shd w:val="clear" w:color="auto" w:fill="FFFFFF"/>
        </w:rPr>
      </w:pPr>
    </w:p>
    <w:p>
      <w:pPr>
        <w:spacing w:after="0" w:line="360" w:lineRule="auto"/>
        <w:ind w:firstLine="480" w:firstLineChars="200"/>
        <w:jc w:val="both"/>
        <w:rPr>
          <w:rFonts w:ascii="宋体" w:hAnsi="宋体" w:eastAsia="宋体" w:cs="宋体"/>
          <w:color w:val="191F25"/>
          <w:spacing w:val="-27"/>
          <w:sz w:val="24"/>
          <w:szCs w:val="24"/>
          <w:shd w:val="clear" w:color="auto" w:fill="FFFFFF"/>
        </w:rPr>
      </w:pPr>
      <w:r>
        <w:rPr>
          <w:rFonts w:hint="eastAsia" w:ascii="宋体" w:hAnsi="宋体" w:eastAsia="宋体" w:cs="宋体"/>
          <w:color w:val="191F25"/>
          <w:sz w:val="24"/>
          <w:szCs w:val="24"/>
          <w:shd w:val="clear" w:color="auto" w:fill="FFFFFF"/>
        </w:rPr>
        <w:t>编制单位：贵州省洪鑫环境检测务有限公司（盖章）</w:t>
      </w:r>
    </w:p>
    <w:p>
      <w:pPr>
        <w:spacing w:after="0" w:line="360" w:lineRule="auto"/>
        <w:ind w:firstLine="480" w:firstLineChars="200"/>
        <w:rPr>
          <w:rFonts w:ascii="Times New Roman" w:hAnsi="Times New Roman" w:eastAsia="宋体"/>
          <w:color w:val="191F25"/>
          <w:sz w:val="24"/>
          <w:szCs w:val="24"/>
          <w:shd w:val="clear" w:color="auto" w:fill="FFFFFF"/>
        </w:rPr>
      </w:pPr>
      <w:r>
        <w:rPr>
          <w:rFonts w:hint="eastAsia" w:ascii="宋体" w:hAnsi="宋体" w:eastAsia="宋体" w:cs="宋体"/>
          <w:color w:val="191F25"/>
          <w:sz w:val="24"/>
          <w:szCs w:val="24"/>
          <w:shd w:val="clear" w:color="auto" w:fill="FFFFFF"/>
        </w:rPr>
        <w:t>电话:</w:t>
      </w:r>
      <w:r>
        <w:rPr>
          <w:rFonts w:ascii="Times New Roman" w:hAnsi="Times New Roman" w:eastAsia="宋体"/>
          <w:color w:val="191F25"/>
          <w:sz w:val="24"/>
          <w:szCs w:val="24"/>
          <w:shd w:val="clear" w:color="auto" w:fill="FFFFFF"/>
        </w:rPr>
        <w:t>(0859)3293111</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传真:</w:t>
      </w:r>
      <w:r>
        <w:rPr>
          <w:rFonts w:ascii="Times New Roman" w:hAnsi="Times New Roman" w:eastAsia="宋体"/>
          <w:color w:val="191F25"/>
          <w:sz w:val="24"/>
          <w:szCs w:val="24"/>
          <w:shd w:val="clear" w:color="auto" w:fill="FFFFFF"/>
        </w:rPr>
        <w:t>(0859)3669368</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邮编:</w:t>
      </w:r>
      <w:r>
        <w:rPr>
          <w:rFonts w:ascii="Times New Roman" w:hAnsi="Times New Roman" w:eastAsia="宋体"/>
          <w:color w:val="191F25"/>
          <w:sz w:val="24"/>
          <w:szCs w:val="24"/>
          <w:shd w:val="clear" w:color="auto" w:fill="FFFFFF"/>
        </w:rPr>
        <w:t>gzhxhjjc@163.com</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地址:贵州省兴义市桔山办桔园村克玛山小区</w:t>
      </w:r>
    </w:p>
    <w:p>
      <w:pPr>
        <w:spacing w:after="0" w:line="360" w:lineRule="auto"/>
        <w:rPr>
          <w:rFonts w:hAnsi="Arial" w:eastAsia="仿宋_GB2312"/>
          <w:b/>
          <w:color w:val="000000"/>
          <w:sz w:val="21"/>
          <w:szCs w:val="21"/>
        </w:rPr>
      </w:pPr>
    </w:p>
    <w:p>
      <w:pPr>
        <w:spacing w:after="0" w:line="360" w:lineRule="auto"/>
        <w:rPr>
          <w:rFonts w:hAnsi="Arial" w:eastAsia="仿宋_GB2312"/>
          <w:b/>
          <w:color w:val="000000"/>
          <w:sz w:val="21"/>
          <w:szCs w:val="21"/>
        </w:rPr>
        <w:sectPr>
          <w:footerReference r:id="rId10" w:type="default"/>
          <w:pgSz w:w="11906" w:h="16838"/>
          <w:pgMar w:top="1440" w:right="1800" w:bottom="1440" w:left="1800" w:header="708" w:footer="708" w:gutter="0"/>
          <w:pgNumType w:start="1"/>
          <w:cols w:space="720" w:num="1"/>
          <w:docGrid w:linePitch="360" w:charSpace="0"/>
        </w:sectPr>
      </w:pPr>
    </w:p>
    <w:p>
      <w:pPr>
        <w:tabs>
          <w:tab w:val="left" w:pos="3291"/>
          <w:tab w:val="center" w:pos="4213"/>
        </w:tabs>
        <w:spacing w:after="0" w:line="360" w:lineRule="auto"/>
        <w:jc w:val="center"/>
        <w:rPr>
          <w:rFonts w:hint="eastAsia" w:ascii="宋体" w:hAnsi="宋体" w:eastAsia="宋体"/>
          <w:sz w:val="36"/>
          <w:szCs w:val="36"/>
          <w:lang w:eastAsia="zh-CN"/>
        </w:rPr>
      </w:pPr>
      <w:r>
        <w:rPr>
          <w:rFonts w:hint="eastAsia" w:ascii="宋体" w:hAnsi="宋体" w:eastAsia="宋体"/>
          <w:sz w:val="36"/>
          <w:szCs w:val="36"/>
          <w:lang w:eastAsia="zh-CN"/>
        </w:rPr>
        <w:tab/>
      </w:r>
    </w:p>
    <w:sdt>
      <w:sdtPr>
        <w:rPr>
          <w:rFonts w:ascii="宋体" w:hAnsi="宋体" w:eastAsia="宋体"/>
          <w:sz w:val="36"/>
          <w:szCs w:val="36"/>
        </w:rPr>
        <w:id w:val="-2032640653"/>
        <w:docPartObj>
          <w:docPartGallery w:val="Table of Contents"/>
          <w:docPartUnique/>
        </w:docPartObj>
      </w:sdtPr>
      <w:sdtEndPr>
        <w:rPr>
          <w:rFonts w:ascii="Times New Roman" w:hAnsi="Times New Roman" w:eastAsia="宋体"/>
          <w:b/>
          <w:bCs/>
          <w:sz w:val="36"/>
          <w:szCs w:val="36"/>
        </w:rPr>
      </w:sdtEndPr>
      <w:sdtContent>
        <w:p>
          <w:pPr>
            <w:tabs>
              <w:tab w:val="left" w:pos="3291"/>
              <w:tab w:val="center" w:pos="4213"/>
            </w:tabs>
            <w:spacing w:after="0" w:line="360" w:lineRule="auto"/>
            <w:jc w:val="left"/>
            <w:rPr>
              <w:rFonts w:ascii="宋体" w:hAnsi="宋体" w:eastAsia="宋体"/>
              <w:b/>
              <w:sz w:val="36"/>
              <w:szCs w:val="36"/>
            </w:rPr>
          </w:pPr>
          <w:bookmarkStart w:id="0" w:name="_Toc21367_WPSOffice_Type2"/>
          <w:r>
            <w:rPr>
              <w:rFonts w:hint="eastAsia" w:ascii="宋体" w:hAnsi="宋体" w:eastAsia="宋体"/>
              <w:sz w:val="36"/>
              <w:szCs w:val="36"/>
              <w:lang w:eastAsia="zh-CN"/>
            </w:rPr>
            <w:tab/>
          </w:r>
          <w:r>
            <w:rPr>
              <w:rFonts w:ascii="宋体" w:hAnsi="宋体" w:eastAsia="宋体"/>
              <w:b/>
              <w:sz w:val="36"/>
              <w:szCs w:val="36"/>
            </w:rPr>
            <w:t>目</w:t>
          </w:r>
          <w:r>
            <w:rPr>
              <w:rFonts w:hint="eastAsia" w:ascii="宋体" w:hAnsi="宋体" w:eastAsia="宋体"/>
              <w:b/>
              <w:sz w:val="36"/>
              <w:szCs w:val="36"/>
            </w:rPr>
            <w:t xml:space="preserve"> </w:t>
          </w:r>
          <w:r>
            <w:rPr>
              <w:rFonts w:ascii="宋体" w:hAnsi="宋体" w:eastAsia="宋体"/>
              <w:b/>
              <w:sz w:val="36"/>
              <w:szCs w:val="36"/>
            </w:rPr>
            <w:t>录</w:t>
          </w:r>
        </w:p>
        <w:p>
          <w:pPr>
            <w:pStyle w:val="2"/>
          </w:pPr>
        </w:p>
        <w:p>
          <w:pPr>
            <w:pStyle w:val="51"/>
            <w:tabs>
              <w:tab w:val="right" w:leader="dot" w:pos="8306"/>
            </w:tabs>
            <w:spacing w:line="480" w:lineRule="auto"/>
            <w:rPr>
              <w:rFonts w:ascii="宋体" w:hAnsi="宋体" w:cs="宋体"/>
              <w:sz w:val="28"/>
              <w:szCs w:val="28"/>
            </w:rPr>
          </w:pPr>
          <w:r>
            <w:fldChar w:fldCharType="begin"/>
          </w:r>
          <w:r>
            <w:instrText xml:space="preserve"> HYPERLINK \l "_Toc18623_WPSOffice_Level1" </w:instrText>
          </w:r>
          <w:r>
            <w:fldChar w:fldCharType="separate"/>
          </w:r>
          <w:sdt>
            <w:sdtPr>
              <w:rPr>
                <w:rFonts w:hint="eastAsia" w:ascii="宋体" w:hAnsi="宋体" w:cs="宋体"/>
                <w:sz w:val="28"/>
                <w:szCs w:val="28"/>
              </w:rPr>
              <w:id w:val="147470757"/>
              <w:placeholder>
                <w:docPart w:val="{84206c68-4058-4a87-8f20-8c152dd58c08}"/>
              </w:placeholder>
            </w:sdtPr>
            <w:sdtEndPr>
              <w:rPr>
                <w:rFonts w:hint="eastAsia" w:ascii="宋体" w:hAnsi="宋体" w:cs="宋体"/>
                <w:sz w:val="28"/>
                <w:szCs w:val="28"/>
              </w:rPr>
            </w:sdtEndPr>
            <w:sdtContent>
              <w:r>
                <w:rPr>
                  <w:rFonts w:hint="eastAsia" w:ascii="宋体" w:hAnsi="宋体" w:cs="宋体"/>
                  <w:sz w:val="28"/>
                  <w:szCs w:val="28"/>
                </w:rPr>
                <w:t>表一  项目基本情况</w:t>
              </w:r>
            </w:sdtContent>
          </w:sdt>
          <w:r>
            <w:rPr>
              <w:rFonts w:hint="eastAsia" w:ascii="宋体" w:hAnsi="宋体" w:cs="宋体"/>
              <w:sz w:val="28"/>
              <w:szCs w:val="28"/>
            </w:rPr>
            <w:tab/>
          </w:r>
          <w:bookmarkStart w:id="1" w:name="_Toc18623_WPSOffice_Level1Page"/>
          <w:r>
            <w:rPr>
              <w:rFonts w:hint="eastAsia" w:ascii="宋体" w:hAnsi="宋体" w:cs="宋体"/>
              <w:sz w:val="28"/>
              <w:szCs w:val="28"/>
            </w:rPr>
            <w:t>1</w:t>
          </w:r>
          <w:bookmarkEnd w:id="1"/>
          <w:r>
            <w:rPr>
              <w:rFonts w:hint="eastAsia" w:ascii="宋体" w:hAnsi="宋体" w:cs="宋体"/>
              <w:sz w:val="28"/>
              <w:szCs w:val="28"/>
            </w:rPr>
            <w:fldChar w:fldCharType="end"/>
          </w:r>
        </w:p>
        <w:p>
          <w:pPr>
            <w:pStyle w:val="51"/>
            <w:tabs>
              <w:tab w:val="right" w:leader="dot" w:pos="8306"/>
            </w:tabs>
            <w:spacing w:line="480" w:lineRule="auto"/>
            <w:rPr>
              <w:rFonts w:ascii="宋体" w:hAnsi="宋体" w:cs="宋体"/>
              <w:sz w:val="28"/>
              <w:szCs w:val="28"/>
            </w:rPr>
          </w:pPr>
          <w:r>
            <w:fldChar w:fldCharType="begin"/>
          </w:r>
          <w:r>
            <w:instrText xml:space="preserve"> HYPERLINK \l "_Toc21367_WPSOffice_Level1" </w:instrText>
          </w:r>
          <w:r>
            <w:fldChar w:fldCharType="separate"/>
          </w:r>
          <w:sdt>
            <w:sdtPr>
              <w:rPr>
                <w:rFonts w:hint="eastAsia" w:ascii="宋体" w:hAnsi="宋体" w:cs="宋体"/>
                <w:sz w:val="28"/>
                <w:szCs w:val="28"/>
              </w:rPr>
              <w:id w:val="-270776875"/>
              <w:placeholder>
                <w:docPart w:val="{a7bf1534-bfd5-40c1-aa2b-26b75a7942b0}"/>
              </w:placeholder>
            </w:sdtPr>
            <w:sdtEndPr>
              <w:rPr>
                <w:rFonts w:hint="eastAsia" w:ascii="宋体" w:hAnsi="宋体" w:cs="宋体"/>
                <w:sz w:val="28"/>
                <w:szCs w:val="28"/>
              </w:rPr>
            </w:sdtEndPr>
            <w:sdtContent>
              <w:r>
                <w:rPr>
                  <w:rFonts w:hint="eastAsia" w:ascii="宋体" w:hAnsi="宋体" w:cs="宋体"/>
                  <w:sz w:val="28"/>
                  <w:szCs w:val="28"/>
                </w:rPr>
                <w:t>表二  工程建设内容、原料消耗及工艺流程图</w:t>
              </w:r>
            </w:sdtContent>
          </w:sdt>
          <w:r>
            <w:rPr>
              <w:rFonts w:hint="eastAsia" w:ascii="宋体" w:hAnsi="宋体" w:cs="宋体"/>
              <w:sz w:val="28"/>
              <w:szCs w:val="28"/>
            </w:rPr>
            <w:tab/>
          </w:r>
          <w:bookmarkStart w:id="2" w:name="_Toc21367_WPSOffice_Level1Page"/>
          <w:r>
            <w:rPr>
              <w:rFonts w:hint="eastAsia" w:ascii="宋体" w:hAnsi="宋体" w:cs="宋体"/>
              <w:sz w:val="28"/>
              <w:szCs w:val="28"/>
            </w:rPr>
            <w:t>3</w:t>
          </w:r>
          <w:bookmarkEnd w:id="2"/>
          <w:r>
            <w:rPr>
              <w:rFonts w:hint="eastAsia" w:ascii="宋体" w:hAnsi="宋体" w:cs="宋体"/>
              <w:sz w:val="28"/>
              <w:szCs w:val="28"/>
            </w:rPr>
            <w:fldChar w:fldCharType="end"/>
          </w:r>
        </w:p>
        <w:p>
          <w:pPr>
            <w:pStyle w:val="51"/>
            <w:tabs>
              <w:tab w:val="right" w:leader="dot" w:pos="8306"/>
            </w:tabs>
            <w:spacing w:line="480" w:lineRule="auto"/>
            <w:rPr>
              <w:rFonts w:ascii="宋体" w:hAnsi="宋体" w:cs="宋体"/>
              <w:sz w:val="28"/>
              <w:szCs w:val="28"/>
            </w:rPr>
          </w:pPr>
          <w:r>
            <w:fldChar w:fldCharType="begin"/>
          </w:r>
          <w:r>
            <w:instrText xml:space="preserve"> HYPERLINK \l "_Toc13200_WPSOffice_Level1" </w:instrText>
          </w:r>
          <w:r>
            <w:fldChar w:fldCharType="separate"/>
          </w:r>
          <w:sdt>
            <w:sdtPr>
              <w:rPr>
                <w:rFonts w:hint="eastAsia" w:ascii="宋体" w:hAnsi="宋体" w:cs="宋体"/>
                <w:sz w:val="28"/>
                <w:szCs w:val="28"/>
              </w:rPr>
              <w:id w:val="1123500135"/>
              <w:placeholder>
                <w:docPart w:val="{549c2dca-e0aa-4130-ba36-f3ae664ce790}"/>
              </w:placeholder>
            </w:sdtPr>
            <w:sdtEndPr>
              <w:rPr>
                <w:rFonts w:hint="eastAsia" w:ascii="宋体" w:hAnsi="宋体" w:cs="宋体"/>
                <w:sz w:val="28"/>
                <w:szCs w:val="28"/>
              </w:rPr>
            </w:sdtEndPr>
            <w:sdtContent>
              <w:r>
                <w:rPr>
                  <w:rFonts w:hint="eastAsia" w:ascii="宋体" w:hAnsi="宋体" w:cs="宋体"/>
                  <w:sz w:val="28"/>
                  <w:szCs w:val="28"/>
                </w:rPr>
                <w:t>表三  主要污染源、污染物处理和排放</w:t>
              </w:r>
            </w:sdtContent>
          </w:sdt>
          <w:r>
            <w:rPr>
              <w:rFonts w:hint="eastAsia" w:ascii="宋体" w:hAnsi="宋体" w:cs="宋体"/>
              <w:sz w:val="28"/>
              <w:szCs w:val="28"/>
            </w:rPr>
            <w:tab/>
          </w:r>
          <w:r>
            <w:rPr>
              <w:rFonts w:hint="eastAsia" w:ascii="宋体" w:hAnsi="宋体" w:cs="宋体"/>
              <w:sz w:val="28"/>
              <w:szCs w:val="28"/>
              <w:lang w:val="en-US" w:eastAsia="zh-CN"/>
            </w:rPr>
            <w:t>6</w:t>
          </w:r>
          <w:r>
            <w:rPr>
              <w:rFonts w:hint="eastAsia" w:ascii="宋体" w:hAnsi="宋体" w:cs="宋体"/>
              <w:sz w:val="28"/>
              <w:szCs w:val="28"/>
            </w:rPr>
            <w:fldChar w:fldCharType="end"/>
          </w:r>
        </w:p>
        <w:p>
          <w:pPr>
            <w:pStyle w:val="51"/>
            <w:tabs>
              <w:tab w:val="right" w:leader="dot" w:pos="8306"/>
            </w:tabs>
            <w:spacing w:line="480" w:lineRule="auto"/>
            <w:rPr>
              <w:rFonts w:ascii="宋体" w:hAnsi="宋体" w:cs="宋体"/>
              <w:sz w:val="28"/>
              <w:szCs w:val="28"/>
            </w:rPr>
          </w:pPr>
          <w:r>
            <w:fldChar w:fldCharType="begin"/>
          </w:r>
          <w:r>
            <w:instrText xml:space="preserve"> HYPERLINK \l "_Toc31019_WPSOffice_Level1" </w:instrText>
          </w:r>
          <w:r>
            <w:fldChar w:fldCharType="separate"/>
          </w:r>
          <w:sdt>
            <w:sdtPr>
              <w:rPr>
                <w:rFonts w:hint="eastAsia" w:ascii="宋体" w:hAnsi="宋体" w:cs="宋体"/>
                <w:sz w:val="28"/>
                <w:szCs w:val="28"/>
              </w:rPr>
              <w:id w:val="173537132"/>
              <w:placeholder>
                <w:docPart w:val="{2490ad63-8232-47e7-9e9c-4d2ff9b4ed27}"/>
              </w:placeholder>
            </w:sdtPr>
            <w:sdtEndPr>
              <w:rPr>
                <w:rFonts w:hint="eastAsia" w:ascii="宋体" w:hAnsi="宋体" w:cs="宋体"/>
                <w:sz w:val="28"/>
                <w:szCs w:val="28"/>
              </w:rPr>
            </w:sdtEndPr>
            <w:sdtContent>
              <w:r>
                <w:rPr>
                  <w:rFonts w:hint="eastAsia" w:ascii="宋体" w:hAnsi="宋体" w:cs="宋体"/>
                  <w:sz w:val="28"/>
                  <w:szCs w:val="28"/>
                </w:rPr>
                <w:t>表四  建设项目环境影响报告表主要结论及审批部门审批决定</w:t>
              </w:r>
            </w:sdtContent>
          </w:sdt>
          <w:r>
            <w:rPr>
              <w:rFonts w:hint="eastAsia" w:ascii="宋体" w:hAnsi="宋体" w:cs="宋体"/>
              <w:sz w:val="28"/>
              <w:szCs w:val="28"/>
            </w:rPr>
            <w:tab/>
          </w:r>
          <w:r>
            <w:rPr>
              <w:rFonts w:hint="eastAsia" w:ascii="宋体" w:hAnsi="宋体" w:cs="宋体"/>
              <w:sz w:val="28"/>
              <w:szCs w:val="28"/>
              <w:lang w:val="en-US" w:eastAsia="zh-CN"/>
            </w:rPr>
            <w:t>8</w:t>
          </w:r>
          <w:r>
            <w:rPr>
              <w:rFonts w:hint="eastAsia" w:ascii="宋体" w:hAnsi="宋体" w:cs="宋体"/>
              <w:sz w:val="28"/>
              <w:szCs w:val="28"/>
            </w:rPr>
            <w:fldChar w:fldCharType="end"/>
          </w:r>
        </w:p>
        <w:p>
          <w:pPr>
            <w:pStyle w:val="51"/>
            <w:tabs>
              <w:tab w:val="right" w:leader="dot" w:pos="8306"/>
            </w:tabs>
            <w:spacing w:line="480" w:lineRule="auto"/>
            <w:rPr>
              <w:rFonts w:hint="eastAsia" w:ascii="宋体" w:hAnsi="宋体" w:eastAsia="宋体" w:cs="宋体"/>
              <w:sz w:val="28"/>
              <w:szCs w:val="28"/>
              <w:lang w:val="en-US" w:eastAsia="zh-CN"/>
            </w:rPr>
          </w:pPr>
          <w:r>
            <w:fldChar w:fldCharType="begin"/>
          </w:r>
          <w:r>
            <w:instrText xml:space="preserve"> HYPERLINK \l "_Toc9754_WPSOffice_Level1" </w:instrText>
          </w:r>
          <w:r>
            <w:fldChar w:fldCharType="separate"/>
          </w:r>
          <w:sdt>
            <w:sdtPr>
              <w:rPr>
                <w:rFonts w:hint="eastAsia" w:ascii="宋体" w:hAnsi="宋体" w:cs="宋体"/>
                <w:sz w:val="28"/>
                <w:szCs w:val="28"/>
              </w:rPr>
              <w:id w:val="1518726019"/>
              <w:placeholder>
                <w:docPart w:val="{5d8154c7-1974-42cc-add1-752015fefbb1}"/>
              </w:placeholder>
            </w:sdtPr>
            <w:sdtEndPr>
              <w:rPr>
                <w:rFonts w:hint="eastAsia" w:ascii="宋体" w:hAnsi="宋体" w:cs="宋体"/>
                <w:sz w:val="28"/>
                <w:szCs w:val="28"/>
              </w:rPr>
            </w:sdtEndPr>
            <w:sdtContent>
              <w:r>
                <w:rPr>
                  <w:rFonts w:hint="eastAsia" w:ascii="宋体" w:hAnsi="宋体" w:cs="宋体"/>
                  <w:sz w:val="28"/>
                  <w:szCs w:val="28"/>
                </w:rPr>
                <w:t>表五  验收监测质量保证及质量控制</w:t>
              </w:r>
            </w:sdtContent>
          </w:sdt>
          <w:r>
            <w:rPr>
              <w:rFonts w:hint="eastAsia" w:ascii="宋体" w:hAnsi="宋体" w:cs="宋体"/>
              <w:sz w:val="28"/>
              <w:szCs w:val="28"/>
            </w:rPr>
            <w:tab/>
          </w:r>
          <w:r>
            <w:rPr>
              <w:rFonts w:hint="eastAsia" w:ascii="宋体" w:hAnsi="宋体" w:cs="宋体"/>
              <w:sz w:val="28"/>
              <w:szCs w:val="28"/>
              <w:lang w:val="en-US" w:eastAsia="zh-CN"/>
            </w:rPr>
            <w:t>1</w:t>
          </w:r>
          <w:r>
            <w:rPr>
              <w:rFonts w:hint="eastAsia" w:ascii="宋体" w:hAnsi="宋体" w:cs="宋体"/>
              <w:sz w:val="28"/>
              <w:szCs w:val="28"/>
            </w:rPr>
            <w:fldChar w:fldCharType="end"/>
          </w:r>
          <w:r>
            <w:rPr>
              <w:rFonts w:hint="eastAsia" w:ascii="宋体" w:hAnsi="宋体" w:cs="宋体"/>
              <w:sz w:val="28"/>
              <w:szCs w:val="28"/>
              <w:lang w:val="en-US" w:eastAsia="zh-CN"/>
            </w:rPr>
            <w:t>0</w:t>
          </w:r>
        </w:p>
        <w:p>
          <w:pPr>
            <w:pStyle w:val="51"/>
            <w:tabs>
              <w:tab w:val="right" w:leader="dot" w:pos="8306"/>
            </w:tabs>
            <w:spacing w:line="480" w:lineRule="auto"/>
            <w:rPr>
              <w:rFonts w:ascii="宋体" w:hAnsi="宋体" w:cs="宋体"/>
              <w:sz w:val="28"/>
              <w:szCs w:val="28"/>
            </w:rPr>
          </w:pPr>
          <w:r>
            <w:fldChar w:fldCharType="begin"/>
          </w:r>
          <w:r>
            <w:instrText xml:space="preserve"> HYPERLINK \l "_Toc22459_WPSOffice_Level1" </w:instrText>
          </w:r>
          <w:r>
            <w:fldChar w:fldCharType="separate"/>
          </w:r>
          <w:sdt>
            <w:sdtPr>
              <w:rPr>
                <w:rFonts w:hint="eastAsia" w:ascii="宋体" w:hAnsi="宋体" w:cs="宋体"/>
                <w:sz w:val="28"/>
                <w:szCs w:val="28"/>
              </w:rPr>
              <w:id w:val="1932397860"/>
            </w:sdtPr>
            <w:sdtEndPr>
              <w:rPr>
                <w:rFonts w:hint="eastAsia" w:ascii="宋体" w:hAnsi="宋体" w:cs="宋体"/>
                <w:sz w:val="28"/>
                <w:szCs w:val="28"/>
              </w:rPr>
            </w:sdtEndPr>
            <w:sdtContent>
              <w:r>
                <w:rPr>
                  <w:rFonts w:hint="eastAsia" w:ascii="宋体" w:hAnsi="宋体" w:cs="宋体"/>
                  <w:sz w:val="28"/>
                  <w:szCs w:val="28"/>
                </w:rPr>
                <w:t>表六  验收监测内容及分析方法</w:t>
              </w:r>
            </w:sdtContent>
          </w:sdt>
          <w:r>
            <w:rPr>
              <w:rFonts w:hint="eastAsia" w:ascii="宋体" w:hAnsi="宋体" w:cs="宋体"/>
              <w:sz w:val="28"/>
              <w:szCs w:val="28"/>
            </w:rPr>
            <w:tab/>
          </w:r>
          <w:bookmarkStart w:id="3" w:name="_Toc22459_WPSOffice_Level1Page"/>
          <w:r>
            <w:rPr>
              <w:rFonts w:hint="eastAsia" w:ascii="宋体" w:hAnsi="宋体" w:cs="宋体"/>
              <w:sz w:val="28"/>
              <w:szCs w:val="28"/>
            </w:rPr>
            <w:t>1</w:t>
          </w:r>
          <w:bookmarkEnd w:id="3"/>
          <w:r>
            <w:rPr>
              <w:rFonts w:hint="eastAsia" w:ascii="宋体" w:hAnsi="宋体" w:cs="宋体"/>
              <w:sz w:val="28"/>
              <w:szCs w:val="28"/>
              <w:lang w:val="en-US" w:eastAsia="zh-CN"/>
            </w:rPr>
            <w:t>1</w:t>
          </w:r>
          <w:r>
            <w:rPr>
              <w:rFonts w:hint="eastAsia" w:ascii="宋体" w:hAnsi="宋体" w:cs="宋体"/>
              <w:sz w:val="28"/>
              <w:szCs w:val="28"/>
            </w:rPr>
            <w:fldChar w:fldCharType="end"/>
          </w:r>
        </w:p>
        <w:p>
          <w:pPr>
            <w:pStyle w:val="51"/>
            <w:tabs>
              <w:tab w:val="right" w:leader="dot" w:pos="8306"/>
            </w:tabs>
            <w:spacing w:line="480" w:lineRule="auto"/>
            <w:rPr>
              <w:rFonts w:ascii="宋体" w:hAnsi="宋体" w:cs="宋体"/>
              <w:sz w:val="28"/>
              <w:szCs w:val="28"/>
            </w:rPr>
          </w:pPr>
          <w:r>
            <w:fldChar w:fldCharType="begin"/>
          </w:r>
          <w:r>
            <w:instrText xml:space="preserve"> HYPERLINK \l "_Toc17533_WPSOffice_Level1" </w:instrText>
          </w:r>
          <w:r>
            <w:fldChar w:fldCharType="separate"/>
          </w:r>
          <w:sdt>
            <w:sdtPr>
              <w:rPr>
                <w:rFonts w:hint="eastAsia" w:ascii="宋体" w:hAnsi="宋体" w:cs="宋体"/>
                <w:sz w:val="28"/>
                <w:szCs w:val="28"/>
              </w:rPr>
              <w:id w:val="1727714168"/>
            </w:sdtPr>
            <w:sdtEndPr>
              <w:rPr>
                <w:rFonts w:hint="eastAsia" w:ascii="宋体" w:hAnsi="宋体" w:cs="宋体"/>
                <w:sz w:val="28"/>
                <w:szCs w:val="28"/>
              </w:rPr>
            </w:sdtEndPr>
            <w:sdtContent>
              <w:r>
                <w:rPr>
                  <w:rFonts w:hint="eastAsia" w:ascii="宋体" w:hAnsi="宋体" w:cs="宋体"/>
                  <w:sz w:val="28"/>
                  <w:szCs w:val="28"/>
                </w:rPr>
                <w:t>表七  验收监测结果</w:t>
              </w:r>
            </w:sdtContent>
          </w:sdt>
          <w:r>
            <w:rPr>
              <w:rFonts w:hint="eastAsia" w:ascii="宋体" w:hAnsi="宋体" w:cs="宋体"/>
              <w:sz w:val="28"/>
              <w:szCs w:val="28"/>
            </w:rPr>
            <w:tab/>
          </w:r>
          <w:bookmarkStart w:id="4" w:name="_Toc17533_WPSOffice_Level1Page"/>
          <w:r>
            <w:rPr>
              <w:rFonts w:hint="eastAsia" w:ascii="宋体" w:hAnsi="宋体" w:cs="宋体"/>
              <w:sz w:val="28"/>
              <w:szCs w:val="28"/>
            </w:rPr>
            <w:t>1</w:t>
          </w:r>
          <w:bookmarkEnd w:id="4"/>
          <w:r>
            <w:rPr>
              <w:rFonts w:hint="eastAsia" w:ascii="宋体" w:hAnsi="宋体" w:cs="宋体"/>
              <w:sz w:val="28"/>
              <w:szCs w:val="28"/>
              <w:lang w:val="en-US" w:eastAsia="zh-CN"/>
            </w:rPr>
            <w:t>2</w:t>
          </w:r>
          <w:r>
            <w:rPr>
              <w:rFonts w:hint="eastAsia" w:ascii="宋体" w:hAnsi="宋体" w:cs="宋体"/>
              <w:sz w:val="28"/>
              <w:szCs w:val="28"/>
            </w:rPr>
            <w:fldChar w:fldCharType="end"/>
          </w:r>
        </w:p>
        <w:p>
          <w:pPr>
            <w:pStyle w:val="51"/>
            <w:tabs>
              <w:tab w:val="right" w:leader="dot" w:pos="8306"/>
            </w:tabs>
            <w:spacing w:line="480" w:lineRule="auto"/>
            <w:rPr>
              <w:rFonts w:ascii="宋体" w:hAnsi="宋体" w:cs="宋体"/>
              <w:sz w:val="28"/>
              <w:szCs w:val="28"/>
            </w:rPr>
          </w:pPr>
          <w:r>
            <w:fldChar w:fldCharType="begin"/>
          </w:r>
          <w:r>
            <w:instrText xml:space="preserve"> HYPERLINK \l "_Toc14452_WPSOffice_Level1" </w:instrText>
          </w:r>
          <w:r>
            <w:fldChar w:fldCharType="separate"/>
          </w:r>
          <w:sdt>
            <w:sdtPr>
              <w:rPr>
                <w:rFonts w:hint="eastAsia" w:ascii="宋体" w:hAnsi="宋体" w:cs="宋体"/>
                <w:sz w:val="28"/>
                <w:szCs w:val="28"/>
              </w:rPr>
              <w:id w:val="-91939157"/>
            </w:sdtPr>
            <w:sdtEndPr>
              <w:rPr>
                <w:rFonts w:hint="eastAsia" w:ascii="宋体" w:hAnsi="宋体" w:cs="宋体"/>
                <w:sz w:val="28"/>
                <w:szCs w:val="28"/>
              </w:rPr>
            </w:sdtEndPr>
            <w:sdtContent>
              <w:r>
                <w:rPr>
                  <w:rFonts w:hint="eastAsia" w:ascii="宋体" w:hAnsi="宋体" w:cs="宋体"/>
                  <w:sz w:val="28"/>
                  <w:szCs w:val="28"/>
                </w:rPr>
                <w:t>表八  验收监测结论</w:t>
              </w:r>
            </w:sdtContent>
          </w:sdt>
          <w:r>
            <w:rPr>
              <w:rFonts w:hint="eastAsia" w:ascii="宋体" w:hAnsi="宋体" w:cs="宋体"/>
              <w:sz w:val="28"/>
              <w:szCs w:val="28"/>
            </w:rPr>
            <w:tab/>
          </w:r>
          <w:bookmarkStart w:id="5" w:name="_Toc14452_WPSOffice_Level1Page"/>
          <w:r>
            <w:rPr>
              <w:rFonts w:hint="eastAsia" w:ascii="宋体" w:hAnsi="宋体" w:cs="宋体"/>
              <w:sz w:val="28"/>
              <w:szCs w:val="28"/>
            </w:rPr>
            <w:t>1</w:t>
          </w:r>
          <w:bookmarkEnd w:id="5"/>
          <w:r>
            <w:rPr>
              <w:rFonts w:hint="eastAsia" w:ascii="宋体" w:hAnsi="宋体" w:cs="宋体"/>
              <w:sz w:val="28"/>
              <w:szCs w:val="28"/>
              <w:lang w:val="en-US" w:eastAsia="zh-CN"/>
            </w:rPr>
            <w:t>5</w:t>
          </w:r>
          <w:r>
            <w:rPr>
              <w:rFonts w:hint="eastAsia" w:ascii="宋体" w:hAnsi="宋体" w:cs="宋体"/>
              <w:sz w:val="28"/>
              <w:szCs w:val="28"/>
            </w:rPr>
            <w:fldChar w:fldCharType="end"/>
          </w:r>
        </w:p>
        <w:p>
          <w:pPr>
            <w:pStyle w:val="53"/>
            <w:tabs>
              <w:tab w:val="right" w:leader="dot" w:pos="8306"/>
            </w:tabs>
            <w:spacing w:line="480" w:lineRule="auto"/>
            <w:ind w:left="0" w:leftChars="0"/>
          </w:pPr>
          <w:r>
            <w:fldChar w:fldCharType="begin"/>
          </w:r>
          <w:r>
            <w:instrText xml:space="preserve"> HYPERLINK \l "_Toc21367_WPSOffice_Level2" </w:instrText>
          </w:r>
          <w:r>
            <w:fldChar w:fldCharType="separate"/>
          </w:r>
          <w:sdt>
            <w:sdtPr>
              <w:rPr>
                <w:rFonts w:hint="eastAsia" w:ascii="宋体" w:hAnsi="宋体" w:cs="宋体"/>
                <w:sz w:val="28"/>
                <w:szCs w:val="28"/>
              </w:rPr>
              <w:id w:val="-640729128"/>
            </w:sdtPr>
            <w:sdtEndPr>
              <w:rPr>
                <w:rFonts w:hint="eastAsia" w:ascii="宋体" w:hAnsi="宋体" w:cs="宋体"/>
                <w:sz w:val="28"/>
                <w:szCs w:val="28"/>
              </w:rPr>
            </w:sdtEndPr>
            <w:sdtContent>
              <w:r>
                <w:rPr>
                  <w:rFonts w:hint="eastAsia" w:ascii="宋体" w:hAnsi="宋体" w:cs="宋体"/>
                  <w:sz w:val="28"/>
                  <w:szCs w:val="28"/>
                </w:rPr>
                <w:t>附表：建设项目竣工环境保护“三同时”验收登记表</w:t>
              </w:r>
            </w:sdtContent>
          </w:sdt>
          <w:r>
            <w:rPr>
              <w:rFonts w:hint="eastAsia" w:ascii="宋体" w:hAnsi="宋体" w:cs="宋体"/>
              <w:sz w:val="28"/>
              <w:szCs w:val="28"/>
            </w:rPr>
            <w:fldChar w:fldCharType="end"/>
          </w:r>
        </w:p>
        <w:p>
          <w:pPr>
            <w:pStyle w:val="51"/>
            <w:tabs>
              <w:tab w:val="right" w:leader="dot" w:pos="8306"/>
            </w:tabs>
          </w:pPr>
        </w:p>
      </w:sdtContent>
    </w:sdt>
    <w:bookmarkEnd w:id="0"/>
    <w:p>
      <w:pPr>
        <w:spacing w:after="0"/>
        <w:rPr>
          <w:rFonts w:ascii="宋体" w:hAnsi="宋体" w:eastAsia="宋体" w:cs="宋体"/>
          <w:b/>
          <w:color w:val="000000"/>
          <w:sz w:val="32"/>
          <w:szCs w:val="32"/>
        </w:rPr>
      </w:pPr>
    </w:p>
    <w:p>
      <w:pPr>
        <w:pStyle w:val="20"/>
        <w:ind w:firstLine="0" w:firstLineChars="0"/>
        <w:rPr>
          <w:rFonts w:eastAsia="宋体"/>
          <w:b/>
          <w:color w:val="000000"/>
          <w:sz w:val="32"/>
          <w:szCs w:val="32"/>
        </w:rPr>
      </w:pPr>
    </w:p>
    <w:p>
      <w:pPr>
        <w:pStyle w:val="6"/>
        <w:ind w:firstLine="321"/>
        <w:rPr>
          <w:rFonts w:ascii="宋体" w:hAnsi="宋体" w:eastAsia="宋体" w:cs="宋体"/>
          <w:b/>
          <w:color w:val="000000"/>
          <w:sz w:val="32"/>
          <w:szCs w:val="32"/>
        </w:rPr>
      </w:pPr>
      <w:bookmarkStart w:id="38" w:name="_GoBack"/>
      <w:bookmarkEnd w:id="38"/>
    </w:p>
    <w:p>
      <w:pPr>
        <w:pStyle w:val="6"/>
        <w:ind w:firstLine="321"/>
        <w:rPr>
          <w:rFonts w:ascii="宋体" w:hAnsi="宋体" w:eastAsia="宋体" w:cs="宋体"/>
          <w:b/>
          <w:color w:val="000000"/>
          <w:sz w:val="32"/>
          <w:szCs w:val="32"/>
        </w:rPr>
      </w:pPr>
    </w:p>
    <w:p>
      <w:pPr>
        <w:pStyle w:val="6"/>
        <w:ind w:firstLine="321"/>
        <w:rPr>
          <w:rFonts w:ascii="宋体" w:hAnsi="宋体" w:eastAsia="宋体" w:cs="宋体"/>
          <w:b/>
          <w:color w:val="000000"/>
          <w:sz w:val="32"/>
          <w:szCs w:val="32"/>
        </w:rPr>
      </w:pPr>
    </w:p>
    <w:p>
      <w:pPr>
        <w:pStyle w:val="6"/>
        <w:ind w:firstLine="321"/>
        <w:rPr>
          <w:rFonts w:ascii="宋体" w:hAnsi="宋体" w:eastAsia="宋体" w:cs="宋体"/>
          <w:b/>
          <w:color w:val="000000"/>
          <w:sz w:val="32"/>
          <w:szCs w:val="32"/>
        </w:rPr>
      </w:pPr>
    </w:p>
    <w:p>
      <w:pPr>
        <w:pStyle w:val="6"/>
        <w:ind w:firstLine="321"/>
        <w:rPr>
          <w:rFonts w:ascii="宋体" w:hAnsi="宋体" w:eastAsia="宋体" w:cs="宋体"/>
          <w:b/>
          <w:color w:val="000000"/>
          <w:sz w:val="32"/>
          <w:szCs w:val="32"/>
        </w:rPr>
      </w:pPr>
    </w:p>
    <w:p>
      <w:pPr>
        <w:pStyle w:val="6"/>
        <w:ind w:firstLine="321"/>
        <w:rPr>
          <w:rFonts w:ascii="宋体" w:hAnsi="宋体" w:eastAsia="宋体" w:cs="宋体"/>
          <w:b/>
          <w:color w:val="000000"/>
          <w:sz w:val="32"/>
          <w:szCs w:val="32"/>
        </w:rPr>
        <w:sectPr>
          <w:footerReference r:id="rId11" w:type="default"/>
          <w:pgSz w:w="11906" w:h="16838"/>
          <w:pgMar w:top="1440" w:right="1800" w:bottom="1440" w:left="1800" w:header="708" w:footer="708" w:gutter="0"/>
          <w:pgNumType w:start="1"/>
          <w:cols w:space="720" w:num="1"/>
          <w:docGrid w:linePitch="360" w:charSpace="0"/>
        </w:sectPr>
      </w:pPr>
    </w:p>
    <w:p>
      <w:pPr>
        <w:spacing w:after="0" w:line="360" w:lineRule="auto"/>
        <w:rPr>
          <w:rFonts w:ascii="宋体" w:hAnsi="宋体" w:eastAsia="宋体" w:cs="宋体"/>
          <w:b/>
          <w:color w:val="000000"/>
          <w:sz w:val="30"/>
          <w:szCs w:val="30"/>
        </w:rPr>
      </w:pPr>
      <w:bookmarkStart w:id="6" w:name="_Toc18623_WPSOffice_Level1"/>
      <w:r>
        <w:rPr>
          <w:rFonts w:hint="eastAsia" w:ascii="宋体" w:hAnsi="宋体" w:eastAsia="宋体" w:cs="宋体"/>
          <w:b/>
          <w:color w:val="000000"/>
          <w:sz w:val="30"/>
          <w:szCs w:val="30"/>
        </w:rPr>
        <w:t xml:space="preserve">表一  </w:t>
      </w:r>
      <w:r>
        <w:rPr>
          <w:rFonts w:ascii="Times New Roman" w:hAnsi="Times New Roman" w:eastAsia="宋体"/>
          <w:b/>
          <w:color w:val="000000"/>
          <w:sz w:val="30"/>
          <w:szCs w:val="30"/>
        </w:rPr>
        <w:t>项目基本情况</w:t>
      </w:r>
      <w:bookmarkEnd w:id="6"/>
    </w:p>
    <w:tbl>
      <w:tblPr>
        <w:tblStyle w:val="18"/>
        <w:tblW w:w="908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1980"/>
        <w:gridCol w:w="1988"/>
        <w:gridCol w:w="1014"/>
        <w:gridCol w:w="786"/>
        <w:gridCol w:w="12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兴义市苗通外用膏贴生产线建设项目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建设单位名称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贵州苗通生物医药开发有限公司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建设项目性质</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建设地点</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兴义市坪东办洒金村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主要产品名称</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外用膏贴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设计生产能力</w:t>
            </w:r>
          </w:p>
        </w:tc>
        <w:tc>
          <w:tcPr>
            <w:tcW w:w="6991" w:type="dxa"/>
            <w:gridSpan w:val="5"/>
          </w:tcPr>
          <w:p>
            <w:pPr>
              <w:spacing w:after="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年产</w:t>
            </w:r>
            <w:r>
              <w:rPr>
                <w:rFonts w:hint="eastAsia" w:ascii="宋体" w:hAnsi="宋体" w:eastAsia="宋体" w:cs="宋体"/>
                <w:color w:val="000000"/>
                <w:sz w:val="24"/>
                <w:szCs w:val="24"/>
                <w:lang w:val="en-US" w:eastAsia="zh-CN"/>
              </w:rPr>
              <w:t>6500箱外用膏贴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实际生产能力</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eastAsia="zh-CN"/>
              </w:rPr>
              <w:t>年产</w:t>
            </w:r>
            <w:r>
              <w:rPr>
                <w:rFonts w:hint="eastAsia" w:ascii="宋体" w:hAnsi="宋体" w:eastAsia="宋体" w:cs="宋体"/>
                <w:color w:val="000000"/>
                <w:sz w:val="24"/>
                <w:szCs w:val="24"/>
                <w:lang w:val="en-US" w:eastAsia="zh-CN"/>
              </w:rPr>
              <w:t>6500箱外用膏贴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环评时间</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2018年7月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开工建设时间</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sz w:val="24"/>
                <w:szCs w:val="24"/>
              </w:rPr>
              <w:t>2018年8月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调试时间</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sz w:val="24"/>
                <w:szCs w:val="24"/>
              </w:rPr>
              <w:t>2018年10月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验收现场</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监测时间</w:t>
            </w:r>
          </w:p>
        </w:tc>
        <w:tc>
          <w:tcPr>
            <w:tcW w:w="3023" w:type="dxa"/>
            <w:gridSpan w:val="3"/>
            <w:vAlign w:val="center"/>
          </w:tcPr>
          <w:p>
            <w:pPr>
              <w:spacing w:after="0"/>
              <w:jc w:val="center"/>
              <w:rPr>
                <w:rFonts w:ascii="宋体" w:hAnsi="宋体" w:eastAsia="宋体" w:cs="宋体"/>
                <w:sz w:val="24"/>
                <w:szCs w:val="24"/>
              </w:rPr>
            </w:pPr>
            <w:r>
              <w:rPr>
                <w:rFonts w:hint="eastAsia" w:ascii="宋体" w:hAnsi="宋体" w:eastAsia="宋体" w:cs="宋体"/>
                <w:color w:val="000000"/>
                <w:sz w:val="24"/>
                <w:szCs w:val="24"/>
              </w:rPr>
              <w:t>2019年2月15-16日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审批部门</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黔西南州环境</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保护局</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编制单位</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贵州绿宏环保科技</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设计单位</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 xml:space="preserve">贵州苗通生物医药开发有限公司 </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施工单位</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 xml:space="preserve">贵州苗通生物医药开发有限公司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投资总概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339</w:t>
            </w:r>
          </w:p>
        </w:tc>
        <w:tc>
          <w:tcPr>
            <w:tcW w:w="1988" w:type="dxa"/>
            <w:vAlign w:val="center"/>
          </w:tcPr>
          <w:p>
            <w:pPr>
              <w:spacing w:after="0"/>
              <w:jc w:val="center"/>
              <w:rPr>
                <w:rFonts w:ascii="宋体" w:hAnsi="宋体" w:eastAsia="宋体" w:cs="宋体"/>
                <w:color w:val="000000"/>
                <w:spacing w:val="-34"/>
                <w:sz w:val="24"/>
                <w:szCs w:val="24"/>
              </w:rPr>
            </w:pPr>
            <w:r>
              <w:rPr>
                <w:rFonts w:hint="eastAsia" w:ascii="宋体" w:hAnsi="宋体" w:eastAsia="宋体" w:cs="宋体"/>
                <w:color w:val="000000"/>
                <w:spacing w:val="-34"/>
                <w:sz w:val="24"/>
                <w:szCs w:val="24"/>
              </w:rPr>
              <w:t>环保投资</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34"/>
                <w:sz w:val="24"/>
                <w:szCs w:val="24"/>
              </w:rPr>
              <w:t>总概算（万元）</w:t>
            </w:r>
          </w:p>
        </w:tc>
        <w:tc>
          <w:tcPr>
            <w:tcW w:w="1014"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8.2</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Times New Roman" w:hAnsi="Times New Roman" w:eastAsia="宋体"/>
                <w:color w:val="000000"/>
                <w:sz w:val="24"/>
                <w:szCs w:val="24"/>
              </w:rPr>
              <w:t>2.42</w:t>
            </w:r>
            <w:r>
              <w:rPr>
                <w:rFonts w:ascii="Times New Roman" w:hAnsi="Times New Roman"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实际总概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339</w:t>
            </w:r>
          </w:p>
        </w:tc>
        <w:tc>
          <w:tcPr>
            <w:tcW w:w="1988"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环保投资(万元）</w:t>
            </w:r>
          </w:p>
        </w:tc>
        <w:tc>
          <w:tcPr>
            <w:tcW w:w="1014"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8.2</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Times New Roman" w:hAnsi="Times New Roman" w:eastAsia="宋体"/>
                <w:color w:val="000000"/>
                <w:sz w:val="24"/>
                <w:szCs w:val="24"/>
              </w:rPr>
              <w:t>2.42</w:t>
            </w:r>
            <w:r>
              <w:rPr>
                <w:rFonts w:ascii="Times New Roman" w:hAnsi="Times New Roman"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验收监测依据</w:t>
            </w:r>
          </w:p>
        </w:tc>
        <w:tc>
          <w:tcPr>
            <w:tcW w:w="6991" w:type="dxa"/>
            <w:gridSpan w:val="5"/>
            <w:vAlign w:val="center"/>
          </w:tcPr>
          <w:p>
            <w:pPr>
              <w:spacing w:before="120" w:after="0"/>
              <w:ind w:firstLine="458" w:firstLineChars="200"/>
              <w:rPr>
                <w:rFonts w:ascii="宋体" w:hAnsi="宋体" w:eastAsia="宋体" w:cs="宋体"/>
                <w:b/>
                <w:bCs/>
                <w:color w:val="000000"/>
                <w:spacing w:val="-6"/>
                <w:sz w:val="24"/>
                <w:szCs w:val="24"/>
              </w:rPr>
            </w:pPr>
            <w:r>
              <w:rPr>
                <w:rFonts w:hint="eastAsia" w:ascii="宋体" w:hAnsi="宋体" w:eastAsia="宋体" w:cs="宋体"/>
                <w:b/>
                <w:bCs/>
                <w:color w:val="000000"/>
                <w:spacing w:val="-6"/>
                <w:sz w:val="24"/>
                <w:szCs w:val="24"/>
              </w:rPr>
              <w:t>1、环境保护法律、法规</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（1）《中华人民共和国环境保护法》2015年1月1日。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（2）《中华人民共和国大气污染防治法》2016年10月26日修正。</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（3）《中华人民共和国水污染防治法》2017年6月27日修订。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（4）《中华人民共和国环境噪声污染防治法》2018年12月29日修正。</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（5）《中华人民共和国固体废物污染环境防治法》2016年11月7日修订。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（6）《贵州省水污染防治条例》2018年2月1日。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（7）《贵州省大气污染防治条例》2016年9月1日。</w:t>
            </w:r>
          </w:p>
          <w:p>
            <w:pPr>
              <w:spacing w:after="0" w:line="400" w:lineRule="exact"/>
              <w:ind w:left="480" w:leftChars="218"/>
              <w:rPr>
                <w:rFonts w:ascii="宋体" w:hAnsi="宋体" w:eastAsia="宋体" w:cs="宋体"/>
                <w:spacing w:val="-6"/>
                <w:sz w:val="24"/>
                <w:szCs w:val="24"/>
              </w:rPr>
            </w:pPr>
            <w:r>
              <w:rPr>
                <w:rFonts w:hint="eastAsia" w:ascii="宋体" w:hAnsi="宋体" w:eastAsia="宋体" w:cs="宋体"/>
                <w:spacing w:val="-6"/>
                <w:sz w:val="24"/>
                <w:szCs w:val="24"/>
              </w:rPr>
              <w:t>（8）《贵州省环境噪声污染防治条例》2017年9月3日。</w:t>
            </w:r>
          </w:p>
          <w:p>
            <w:pPr>
              <w:spacing w:after="0" w:line="400" w:lineRule="exact"/>
              <w:ind w:left="480" w:leftChars="218"/>
              <w:rPr>
                <w:rFonts w:ascii="宋体" w:hAnsi="宋体" w:eastAsia="宋体" w:cs="宋体"/>
                <w:color w:val="000000"/>
                <w:spacing w:val="-6"/>
                <w:sz w:val="24"/>
                <w:szCs w:val="24"/>
              </w:rPr>
            </w:pPr>
            <w:r>
              <w:rPr>
                <w:rFonts w:hint="eastAsia" w:ascii="宋体" w:hAnsi="宋体" w:eastAsia="宋体" w:cs="宋体"/>
                <w:b/>
                <w:bCs/>
                <w:color w:val="000000"/>
                <w:spacing w:val="-6"/>
                <w:sz w:val="24"/>
                <w:szCs w:val="24"/>
              </w:rPr>
              <w:t>2、建设项目竣工环境保护验收技术规范</w:t>
            </w:r>
          </w:p>
          <w:p>
            <w:pPr>
              <w:spacing w:after="0" w:line="400" w:lineRule="exact"/>
              <w:ind w:firstLine="456" w:firstLineChars="200"/>
              <w:rPr>
                <w:rFonts w:ascii="宋体" w:hAnsi="宋体" w:eastAsia="宋体" w:cs="宋体"/>
                <w:color w:val="000000"/>
                <w:spacing w:val="-6"/>
                <w:sz w:val="24"/>
                <w:szCs w:val="24"/>
              </w:rPr>
            </w:pPr>
            <w:r>
              <w:rPr>
                <w:rFonts w:hint="eastAsia" w:ascii="宋体" w:hAnsi="宋体" w:eastAsia="宋体" w:cs="宋体"/>
                <w:color w:val="000000"/>
                <w:spacing w:val="-6"/>
                <w:sz w:val="24"/>
                <w:szCs w:val="24"/>
              </w:rPr>
              <w:t>（1）《建设项目竣工环境保护验收暂行办法》，国环规环评【2017】4号。</w:t>
            </w:r>
          </w:p>
          <w:p>
            <w:pPr>
              <w:pStyle w:val="46"/>
              <w:spacing w:after="0" w:line="400" w:lineRule="exact"/>
              <w:ind w:firstLine="468"/>
              <w:rPr>
                <w:rFonts w:ascii="宋体" w:hAnsi="宋体" w:eastAsia="宋体" w:cs="宋体"/>
                <w:spacing w:val="-6"/>
                <w:sz w:val="24"/>
                <w:szCs w:val="24"/>
              </w:rPr>
            </w:pPr>
            <w:r>
              <w:rPr>
                <w:rFonts w:hint="eastAsia" w:ascii="宋体" w:hAnsi="宋体" w:eastAsia="宋体" w:cs="宋体"/>
                <w:color w:val="000000"/>
                <w:spacing w:val="-6"/>
                <w:sz w:val="24"/>
                <w:szCs w:val="24"/>
              </w:rPr>
              <w:t>（2）《建设项目竣工环境保护验收技术指南  污染影响类》，</w:t>
            </w:r>
            <w:r>
              <w:rPr>
                <w:rFonts w:hint="eastAsia" w:ascii="宋体" w:hAnsi="宋体" w:eastAsia="宋体" w:cs="宋体"/>
                <w:spacing w:val="-6"/>
                <w:sz w:val="24"/>
                <w:szCs w:val="24"/>
              </w:rPr>
              <w:t>生态环境部办公厅2018年5月16日印发。</w:t>
            </w:r>
          </w:p>
          <w:p>
            <w:pPr>
              <w:pStyle w:val="46"/>
              <w:spacing w:after="0" w:line="400" w:lineRule="exact"/>
              <w:ind w:firstLine="468"/>
              <w:rPr>
                <w:rFonts w:ascii="宋体" w:hAnsi="宋体" w:eastAsia="宋体" w:cs="宋体"/>
                <w:color w:val="000000"/>
                <w:spacing w:val="-6"/>
                <w:sz w:val="24"/>
                <w:szCs w:val="24"/>
              </w:rPr>
            </w:pPr>
            <w:r>
              <w:rPr>
                <w:rFonts w:hint="eastAsia" w:ascii="宋体" w:hAnsi="宋体" w:eastAsia="宋体" w:cs="宋体"/>
                <w:color w:val="000000"/>
                <w:spacing w:val="-6"/>
                <w:sz w:val="24"/>
                <w:szCs w:val="24"/>
              </w:rPr>
              <w:t>（3）《国务院关于修改〈建设项目环境保护管理条例〉的决定》，国务院[2017]第682号国务院令。</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（4）《关于印发建设项目环境保护验收现场检查及审查要点的通知》，环办[2015]113号。</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（5）《兴义市苗通外用膏贴生产线建设项目环境影响报告表》，贵州绿宏环保科技有限公司，2018年8月。</w:t>
            </w:r>
          </w:p>
          <w:p>
            <w:pPr>
              <w:spacing w:after="0" w:line="400" w:lineRule="exact"/>
              <w:ind w:firstLine="480" w:firstLineChars="200"/>
              <w:rPr>
                <w:rFonts w:ascii="宋体" w:hAnsi="宋体" w:eastAsia="宋体" w:cs="宋体"/>
                <w:sz w:val="24"/>
                <w:szCs w:val="24"/>
              </w:rPr>
            </w:pPr>
            <w:r>
              <w:rPr>
                <w:rFonts w:hint="eastAsia" w:ascii="宋体" w:hAnsi="宋体" w:eastAsia="宋体" w:cs="宋体"/>
                <w:color w:val="000000"/>
                <w:sz w:val="24"/>
                <w:szCs w:val="24"/>
              </w:rPr>
              <w:t>（6）黔西南州环境保护局关于对《兴义市苗通外用膏贴生产线建设项目环境影响报告表》的核准意见，州环核</w:t>
            </w:r>
            <w:r>
              <w:rPr>
                <w:rFonts w:hint="eastAsia" w:ascii="宋体" w:hAnsi="宋体" w:eastAsia="宋体" w:cs="宋体"/>
                <w:sz w:val="24"/>
                <w:szCs w:val="24"/>
              </w:rPr>
              <w:t>[2018]</w:t>
            </w:r>
          </w:p>
          <w:p>
            <w:pPr>
              <w:spacing w:after="0" w:line="400" w:lineRule="exact"/>
              <w:rPr>
                <w:rFonts w:ascii="宋体" w:hAnsi="宋体" w:eastAsia="宋体" w:cs="宋体"/>
                <w:sz w:val="24"/>
                <w:szCs w:val="24"/>
              </w:rPr>
            </w:pPr>
            <w:r>
              <w:rPr>
                <w:rFonts w:hint="eastAsia" w:ascii="宋体" w:hAnsi="宋体" w:eastAsia="宋体" w:cs="宋体"/>
                <w:sz w:val="24"/>
                <w:szCs w:val="24"/>
              </w:rPr>
              <w:t>08号。</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（7）贵州苗通生物医药开发有限公司兴义市苗通外用膏贴生产线建设项目竣工环境保护验收检测委书。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09" w:hRule="atLeast"/>
          <w:jc w:val="center"/>
        </w:trPr>
        <w:tc>
          <w:tcPr>
            <w:tcW w:w="2092" w:type="dxa"/>
            <w:vAlign w:val="center"/>
          </w:tcPr>
          <w:p>
            <w:pPr>
              <w:spacing w:after="0" w:line="360" w:lineRule="auto"/>
              <w:jc w:val="center"/>
              <w:rPr>
                <w:rFonts w:ascii="宋体" w:hAnsi="宋体" w:eastAsia="宋体"/>
                <w:color w:val="000000"/>
                <w:sz w:val="21"/>
                <w:szCs w:val="21"/>
              </w:rPr>
            </w:pPr>
            <w:r>
              <w:rPr>
                <w:rFonts w:ascii="宋体" w:hAnsi="宋体" w:eastAsia="宋体"/>
                <w:color w:val="000000"/>
                <w:spacing w:val="-6"/>
                <w:sz w:val="21"/>
                <w:szCs w:val="21"/>
              </w:rPr>
              <w:t>验收监测评价</w:t>
            </w:r>
            <w:r>
              <w:rPr>
                <w:rFonts w:hint="eastAsia" w:ascii="宋体" w:hAnsi="宋体" w:eastAsia="宋体"/>
                <w:color w:val="000000"/>
                <w:spacing w:val="-6"/>
                <w:sz w:val="21"/>
                <w:szCs w:val="21"/>
              </w:rPr>
              <w:t>标</w:t>
            </w:r>
            <w:r>
              <w:rPr>
                <w:rFonts w:ascii="宋体" w:hAnsi="宋体" w:eastAsia="宋体"/>
                <w:color w:val="000000"/>
                <w:spacing w:val="-6"/>
                <w:sz w:val="21"/>
                <w:szCs w:val="21"/>
              </w:rPr>
              <w:t>准、</w:t>
            </w:r>
            <w:r>
              <w:rPr>
                <w:rFonts w:ascii="宋体" w:hAnsi="宋体" w:eastAsia="宋体"/>
                <w:color w:val="000000"/>
                <w:sz w:val="21"/>
                <w:szCs w:val="21"/>
              </w:rPr>
              <w:t>标号、级别、限值</w:t>
            </w:r>
          </w:p>
        </w:tc>
        <w:tc>
          <w:tcPr>
            <w:tcW w:w="6991" w:type="dxa"/>
            <w:gridSpan w:val="5"/>
          </w:tcPr>
          <w:p>
            <w:pPr>
              <w:spacing w:before="120" w:beforeLines="50"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1、项目废气执行《大气污染物综合排放标准》（GB16297－1996）新污染源无组织排放标准</w:t>
            </w:r>
            <w:r>
              <w:rPr>
                <w:rFonts w:ascii="Times New Roman" w:hAnsi="Times New Roman" w:eastAsia="宋体"/>
                <w:sz w:val="24"/>
                <w:szCs w:val="24"/>
              </w:rPr>
              <w:t>见表1-</w:t>
            </w:r>
            <w:r>
              <w:rPr>
                <w:rFonts w:hint="eastAsia" w:ascii="Times New Roman" w:hAnsi="Times New Roman" w:eastAsia="宋体"/>
                <w:sz w:val="24"/>
                <w:szCs w:val="24"/>
              </w:rPr>
              <w:t>1。</w:t>
            </w:r>
          </w:p>
          <w:p>
            <w:pPr>
              <w:pStyle w:val="2"/>
              <w:spacing w:line="360" w:lineRule="auto"/>
              <w:ind w:firstLine="422" w:firstLineChars="200"/>
              <w:jc w:val="both"/>
              <w:rPr>
                <w:rFonts w:ascii="Times New Roman" w:hAnsi="Times New Roman"/>
              </w:rPr>
            </w:pPr>
            <w:r>
              <w:rPr>
                <w:rFonts w:hint="eastAsia" w:hAnsi="宋体"/>
                <w:b/>
                <w:bCs/>
                <w:sz w:val="21"/>
                <w:szCs w:val="21"/>
              </w:rPr>
              <w:t>表1-1</w:t>
            </w:r>
            <w:r>
              <w:rPr>
                <w:rFonts w:hint="eastAsia" w:hAnsi="宋体"/>
                <w:b/>
                <w:bCs/>
                <w:color w:val="auto"/>
                <w:sz w:val="21"/>
                <w:szCs w:val="21"/>
              </w:rPr>
              <w:t>《大气污染物综合排放标准》（GB16297－1996）标准限值</w:t>
            </w:r>
          </w:p>
          <w:tbl>
            <w:tblPr>
              <w:tblStyle w:val="18"/>
              <w:tblW w:w="63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247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266" w:type="dxa"/>
                  <w:vMerge w:val="restart"/>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污染物</w:t>
                  </w:r>
                </w:p>
              </w:tc>
              <w:tc>
                <w:tcPr>
                  <w:tcW w:w="4071" w:type="dxa"/>
                  <w:gridSpan w:val="2"/>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无组织排放监控</w:t>
                  </w:r>
                </w:p>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2266" w:type="dxa"/>
                  <w:vMerge w:val="continue"/>
                  <w:tcBorders>
                    <w:tl2br w:val="nil"/>
                    <w:tr2bl w:val="nil"/>
                  </w:tcBorders>
                  <w:vAlign w:val="center"/>
                </w:tcPr>
                <w:p>
                  <w:pPr>
                    <w:spacing w:line="240" w:lineRule="atLeast"/>
                    <w:jc w:val="center"/>
                    <w:rPr>
                      <w:rFonts w:ascii="Times New Roman" w:hAnsi="Times New Roman" w:eastAsia="宋体"/>
                      <w:sz w:val="21"/>
                      <w:szCs w:val="21"/>
                    </w:rPr>
                  </w:pPr>
                </w:p>
              </w:tc>
              <w:tc>
                <w:tcPr>
                  <w:tcW w:w="2475"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监控点</w:t>
                  </w:r>
                </w:p>
              </w:tc>
              <w:tc>
                <w:tcPr>
                  <w:tcW w:w="1596"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浓度mg/m</w:t>
                  </w:r>
                  <w:r>
                    <w:rPr>
                      <w:rFonts w:ascii="Times New Roman" w:hAnsi="Times New Roman" w:eastAsia="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2266"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颗粒物</w:t>
                  </w:r>
                </w:p>
              </w:tc>
              <w:tc>
                <w:tcPr>
                  <w:tcW w:w="2475"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周界外浓度最高点</w:t>
                  </w:r>
                </w:p>
              </w:tc>
              <w:tc>
                <w:tcPr>
                  <w:tcW w:w="1596"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2266"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非甲烷总烃</w:t>
                  </w:r>
                </w:p>
              </w:tc>
              <w:tc>
                <w:tcPr>
                  <w:tcW w:w="2475" w:type="dxa"/>
                  <w:tcBorders>
                    <w:tl2br w:val="nil"/>
                    <w:tr2bl w:val="nil"/>
                  </w:tcBorders>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周界外浓度最高点</w:t>
                  </w:r>
                </w:p>
              </w:tc>
              <w:tc>
                <w:tcPr>
                  <w:tcW w:w="1596" w:type="dxa"/>
                  <w:tcBorders>
                    <w:tl2br w:val="nil"/>
                    <w:tr2bl w:val="nil"/>
                  </w:tcBorders>
                  <w:vAlign w:val="center"/>
                </w:tcPr>
                <w:p>
                  <w:pPr>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.0</w:t>
                  </w:r>
                </w:p>
              </w:tc>
            </w:tr>
          </w:tbl>
          <w:p>
            <w:pPr>
              <w:widowControl w:val="0"/>
              <w:spacing w:before="120" w:beforeLines="50"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、《工业企业厂界环境噪声排放标准》(GB12348-2008)2类限值见表</w:t>
            </w: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2</w:t>
            </w:r>
            <w:r>
              <w:rPr>
                <w:rFonts w:ascii="Times New Roman" w:hAnsi="Times New Roman" w:eastAsia="宋体"/>
                <w:sz w:val="24"/>
                <w:szCs w:val="24"/>
              </w:rPr>
              <w:t>。</w:t>
            </w:r>
          </w:p>
          <w:p>
            <w:pPr>
              <w:pStyle w:val="49"/>
              <w:spacing w:before="0" w:beforeLines="0" w:after="0" w:line="360" w:lineRule="auto"/>
              <w:rPr>
                <w:rFonts w:eastAsia="宋体"/>
                <w:sz w:val="21"/>
                <w:szCs w:val="21"/>
              </w:rPr>
            </w:pPr>
            <w:bookmarkStart w:id="7" w:name="_Toc21877_WPSOffice_Level2"/>
            <w:r>
              <w:rPr>
                <w:rFonts w:eastAsia="宋体"/>
                <w:sz w:val="21"/>
                <w:szCs w:val="21"/>
              </w:rPr>
              <w:t>表1-</w:t>
            </w:r>
            <w:r>
              <w:rPr>
                <w:rFonts w:hint="eastAsia" w:eastAsia="宋体"/>
                <w:sz w:val="21"/>
                <w:szCs w:val="21"/>
              </w:rPr>
              <w:t>2</w:t>
            </w:r>
            <w:r>
              <w:rPr>
                <w:rFonts w:eastAsia="宋体"/>
                <w:sz w:val="21"/>
                <w:szCs w:val="21"/>
              </w:rPr>
              <w:t>工业企业厂界环境噪声排放限值      单位：dB（A）</w:t>
            </w:r>
            <w:bookmarkEnd w:id="7"/>
          </w:p>
          <w:tbl>
            <w:tblPr>
              <w:tblStyle w:val="19"/>
              <w:tblW w:w="6560" w:type="dxa"/>
              <w:jc w:val="center"/>
              <w:tblInd w:w="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8"/>
              <w:gridCol w:w="213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2738" w:type="dxa"/>
                  <w:vAlign w:val="center"/>
                </w:tcPr>
                <w:p>
                  <w:pPr>
                    <w:pStyle w:val="47"/>
                    <w:widowControl w:val="0"/>
                    <w:spacing w:after="0"/>
                    <w:rPr>
                      <w:rFonts w:eastAsia="宋体"/>
                      <w:szCs w:val="21"/>
                    </w:rPr>
                  </w:pPr>
                  <w:r>
                    <w:rPr>
                      <w:rFonts w:eastAsia="宋体"/>
                      <w:szCs w:val="21"/>
                    </w:rPr>
                    <w:t>厂界外声环境功能区类别</w:t>
                  </w:r>
                </w:p>
              </w:tc>
              <w:tc>
                <w:tcPr>
                  <w:tcW w:w="2130" w:type="dxa"/>
                  <w:vAlign w:val="center"/>
                </w:tcPr>
                <w:p>
                  <w:pPr>
                    <w:pStyle w:val="47"/>
                    <w:widowControl w:val="0"/>
                    <w:spacing w:after="0"/>
                    <w:rPr>
                      <w:rFonts w:eastAsia="宋体"/>
                      <w:szCs w:val="21"/>
                    </w:rPr>
                  </w:pPr>
                  <w:r>
                    <w:rPr>
                      <w:rFonts w:eastAsia="宋体"/>
                      <w:szCs w:val="21"/>
                    </w:rPr>
                    <w:t>昼间</w:t>
                  </w:r>
                </w:p>
              </w:tc>
              <w:tc>
                <w:tcPr>
                  <w:tcW w:w="1692" w:type="dxa"/>
                  <w:vAlign w:val="center"/>
                </w:tcPr>
                <w:p>
                  <w:pPr>
                    <w:pStyle w:val="47"/>
                    <w:widowControl w:val="0"/>
                    <w:spacing w:after="0"/>
                    <w:rPr>
                      <w:rFonts w:eastAsia="宋体"/>
                      <w:szCs w:val="21"/>
                    </w:rPr>
                  </w:pPr>
                  <w:r>
                    <w:rPr>
                      <w:rFonts w:eastAsia="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2738" w:type="dxa"/>
                  <w:vAlign w:val="center"/>
                </w:tcPr>
                <w:p>
                  <w:pPr>
                    <w:pStyle w:val="47"/>
                    <w:widowControl w:val="0"/>
                    <w:spacing w:after="0"/>
                    <w:rPr>
                      <w:rFonts w:eastAsia="宋体"/>
                      <w:szCs w:val="21"/>
                    </w:rPr>
                  </w:pPr>
                  <w:r>
                    <w:rPr>
                      <w:rFonts w:hint="eastAsia" w:eastAsia="宋体"/>
                      <w:szCs w:val="21"/>
                    </w:rPr>
                    <w:t>2</w:t>
                  </w:r>
                  <w:r>
                    <w:rPr>
                      <w:rFonts w:eastAsia="宋体"/>
                      <w:szCs w:val="21"/>
                    </w:rPr>
                    <w:t>类</w:t>
                  </w:r>
                </w:p>
              </w:tc>
              <w:tc>
                <w:tcPr>
                  <w:tcW w:w="2130" w:type="dxa"/>
                  <w:vAlign w:val="center"/>
                </w:tcPr>
                <w:p>
                  <w:pPr>
                    <w:pStyle w:val="47"/>
                    <w:widowControl w:val="0"/>
                    <w:spacing w:after="0"/>
                    <w:rPr>
                      <w:rFonts w:eastAsia="宋体"/>
                      <w:szCs w:val="21"/>
                    </w:rPr>
                  </w:pPr>
                  <w:r>
                    <w:rPr>
                      <w:rFonts w:eastAsia="宋体"/>
                      <w:szCs w:val="21"/>
                    </w:rPr>
                    <w:t>6</w:t>
                  </w:r>
                  <w:r>
                    <w:rPr>
                      <w:rFonts w:hint="eastAsia" w:eastAsia="宋体"/>
                      <w:szCs w:val="21"/>
                    </w:rPr>
                    <w:t>0</w:t>
                  </w:r>
                </w:p>
              </w:tc>
              <w:tc>
                <w:tcPr>
                  <w:tcW w:w="1692" w:type="dxa"/>
                  <w:vAlign w:val="center"/>
                </w:tcPr>
                <w:p>
                  <w:pPr>
                    <w:pStyle w:val="47"/>
                    <w:widowControl w:val="0"/>
                    <w:spacing w:after="0"/>
                    <w:rPr>
                      <w:rFonts w:eastAsia="宋体"/>
                      <w:szCs w:val="21"/>
                    </w:rPr>
                  </w:pPr>
                  <w:r>
                    <w:rPr>
                      <w:rFonts w:eastAsia="宋体"/>
                      <w:szCs w:val="21"/>
                    </w:rPr>
                    <w:t>5</w:t>
                  </w:r>
                  <w:r>
                    <w:rPr>
                      <w:rFonts w:hint="eastAsia" w:eastAsia="宋体"/>
                      <w:szCs w:val="21"/>
                    </w:rPr>
                    <w:t>0</w:t>
                  </w:r>
                </w:p>
              </w:tc>
            </w:tr>
          </w:tbl>
          <w:p>
            <w:pPr>
              <w:spacing w:after="0" w:line="520" w:lineRule="exact"/>
              <w:rPr>
                <w:rFonts w:ascii="宋体" w:hAnsi="宋体" w:eastAsia="宋体"/>
                <w:color w:val="000000"/>
                <w:sz w:val="21"/>
                <w:szCs w:val="21"/>
              </w:rPr>
            </w:pPr>
          </w:p>
        </w:tc>
      </w:tr>
    </w:tbl>
    <w:p>
      <w:pPr>
        <w:spacing w:after="0" w:line="360" w:lineRule="auto"/>
        <w:rPr>
          <w:rFonts w:eastAsia="仿宋_GB2312"/>
          <w:b/>
          <w:color w:val="000000"/>
          <w:sz w:val="30"/>
          <w:szCs w:val="30"/>
        </w:rPr>
      </w:pPr>
      <w:r>
        <w:rPr>
          <w:rFonts w:eastAsia="仿宋_GB2312"/>
          <w:color w:val="000000"/>
          <w:sz w:val="21"/>
          <w:szCs w:val="21"/>
        </w:rPr>
        <w:br w:type="page"/>
      </w:r>
      <w:bookmarkStart w:id="8" w:name="_Toc21367_WPSOffice_Level1"/>
      <w:r>
        <w:rPr>
          <w:rFonts w:hint="eastAsia" w:ascii="宋体" w:hAnsi="宋体" w:eastAsia="宋体" w:cs="宋体"/>
          <w:b/>
          <w:color w:val="000000"/>
          <w:sz w:val="30"/>
          <w:szCs w:val="30"/>
        </w:rPr>
        <w:t>表二  工程建设内容、原料消耗及工艺流程图</w:t>
      </w:r>
      <w:bookmarkEnd w:id="8"/>
    </w:p>
    <w:tbl>
      <w:tblPr>
        <w:tblStyle w:val="18"/>
        <w:tblW w:w="97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07" w:hRule="atLeast"/>
          <w:jc w:val="center"/>
        </w:trPr>
        <w:tc>
          <w:tcPr>
            <w:tcW w:w="9718" w:type="dxa"/>
          </w:tcPr>
          <w:p>
            <w:pPr>
              <w:pStyle w:val="20"/>
              <w:spacing w:before="120" w:beforeLines="50" w:after="0"/>
              <w:ind w:firstLine="480"/>
              <w:rPr>
                <w:rFonts w:eastAsia="宋体"/>
                <w:color w:val="000000"/>
                <w:sz w:val="21"/>
                <w:szCs w:val="21"/>
              </w:rPr>
            </w:pPr>
            <w:r>
              <w:rPr>
                <w:rFonts w:hint="eastAsia" w:eastAsia="宋体"/>
                <w:color w:val="000000"/>
                <w:szCs w:val="24"/>
              </w:rPr>
              <w:t>1、</w:t>
            </w:r>
            <w:r>
              <w:rPr>
                <w:rFonts w:hint="eastAsia" w:eastAsia="宋体"/>
                <w:szCs w:val="24"/>
              </w:rPr>
              <w:t>工</w:t>
            </w:r>
            <w:r>
              <w:rPr>
                <w:rFonts w:ascii="Times New Roman" w:hAnsi="Times New Roman" w:eastAsia="宋体" w:cs="Times New Roman"/>
                <w:szCs w:val="24"/>
              </w:rPr>
              <w:t>程建设内容：</w:t>
            </w:r>
            <w:r>
              <w:rPr>
                <w:rFonts w:hint="eastAsia" w:ascii="Times New Roman" w:hAnsi="Times New Roman" w:eastAsia="宋体" w:cs="Times New Roman"/>
                <w:szCs w:val="24"/>
              </w:rPr>
              <w:t>项目位于兴义市洒金村，总投资339万元。该公司租赁厂房项目占地面积540平方米，为五层，建筑面积2700平方米。一层包括货厅，物料暂存间，基质植被、涂布、切片间，容器存放间，容器洗涤间，洁具间，公用系统空调机空压机，脱外包间，称量间，内包封口间，贴片、充磁间，中间站，管理间，配电房，粉剂混合，粉剂分装，液体配置、分装，中控室，值班室，女更衣，男更衣，更鞋，洗手消毒；二层包括外包间，成品库，洁具间，洗手消毒，女更衣，男更衣，更鞋，管理间，男卫，洗手台，女卫，不合格品库，退货品库；三层包括内包材区，原材料区，洗手间，纸盒存放区，滤纸、卷膜，危险品库，医用透气胶带，外箱存放区；四层预留；五层包括会议室，天平室，预留间，留样室，检验室，男卫，女卫，洗手台，财务室，副总办公室，综合办公室，总经理办公室，档案室。项目年产体痛穴位贴2000箱、小儿腹泻理疗贴2000箱、儿童感冒咳嗽理疗贴2000箱和咳喘理疗贴500箱。项目于2018年8月建设，2018年10月试运行，现有职工32人，工作日为250天，每天1班，每班8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59" w:hRule="atLeast"/>
          <w:jc w:val="center"/>
        </w:trPr>
        <w:tc>
          <w:tcPr>
            <w:tcW w:w="9718" w:type="dxa"/>
          </w:tcPr>
          <w:p>
            <w:pPr>
              <w:numPr>
                <w:ilvl w:val="0"/>
                <w:numId w:val="1"/>
              </w:numPr>
              <w:spacing w:before="240" w:beforeLines="100"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项目原辅材料消耗：</w:t>
            </w:r>
          </w:p>
          <w:p>
            <w:pPr>
              <w:pStyle w:val="20"/>
              <w:numPr>
                <w:ilvl w:val="0"/>
                <w:numId w:val="2"/>
              </w:numPr>
              <w:spacing w:after="0"/>
              <w:ind w:firstLine="480"/>
              <w:rPr>
                <w:rFonts w:eastAsia="宋体"/>
                <w:szCs w:val="24"/>
              </w:rPr>
            </w:pPr>
            <w:r>
              <w:rPr>
                <w:rFonts w:hint="eastAsia" w:eastAsia="宋体"/>
                <w:szCs w:val="24"/>
              </w:rPr>
              <w:t>项目原辅材料消耗情况见表2-1。</w:t>
            </w:r>
          </w:p>
          <w:p>
            <w:pPr>
              <w:spacing w:after="0" w:line="360" w:lineRule="auto"/>
              <w:jc w:val="center"/>
              <w:rPr>
                <w:rFonts w:ascii="宋体" w:hAnsi="宋体" w:eastAsia="宋体" w:cs="宋体"/>
                <w:sz w:val="24"/>
                <w:szCs w:val="24"/>
              </w:rPr>
            </w:pPr>
            <w:r>
              <w:rPr>
                <w:rFonts w:hint="eastAsia" w:ascii="宋体" w:hAnsi="宋体" w:eastAsia="宋体" w:cs="宋体"/>
                <w:sz w:val="24"/>
                <w:szCs w:val="24"/>
              </w:rPr>
              <w:t>表2-1原辅材料消耗</w:t>
            </w:r>
          </w:p>
          <w:tbl>
            <w:tblPr>
              <w:tblStyle w:val="18"/>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861"/>
              <w:gridCol w:w="389"/>
              <w:gridCol w:w="1037"/>
              <w:gridCol w:w="1337"/>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序号</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名称</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单位</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数量</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760" w:type="dxa"/>
                  <w:gridSpan w:val="6"/>
                  <w:vAlign w:val="center"/>
                </w:tcPr>
                <w:p>
                  <w:pPr>
                    <w:spacing w:after="0"/>
                    <w:jc w:val="center"/>
                    <w:rPr>
                      <w:rFonts w:ascii="宋体" w:hAnsi="宋体" w:eastAsia="宋体" w:cs="宋体"/>
                      <w:sz w:val="24"/>
                      <w:szCs w:val="24"/>
                    </w:rPr>
                  </w:pPr>
                  <w:r>
                    <w:rPr>
                      <w:rFonts w:hint="eastAsia" w:ascii="宋体" w:hAnsi="宋体" w:eastAsia="宋体" w:cs="宋体"/>
                      <w:sz w:val="24"/>
                      <w:szCs w:val="24"/>
                    </w:rPr>
                    <w:t>一、小儿腹泻理疗贴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2250"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远红外纳米粉</w:t>
                  </w:r>
                </w:p>
              </w:tc>
              <w:tc>
                <w:tcPr>
                  <w:tcW w:w="10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0.27</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2250"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磁性材料</w:t>
                  </w:r>
                </w:p>
              </w:tc>
              <w:tc>
                <w:tcPr>
                  <w:tcW w:w="10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0.27</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2250"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基质</w:t>
                  </w:r>
                </w:p>
              </w:tc>
              <w:tc>
                <w:tcPr>
                  <w:tcW w:w="10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1.26</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760" w:type="dxa"/>
                  <w:gridSpan w:val="6"/>
                  <w:vAlign w:val="center"/>
                </w:tcPr>
                <w:p>
                  <w:pPr>
                    <w:spacing w:after="0"/>
                    <w:jc w:val="center"/>
                    <w:rPr>
                      <w:rFonts w:ascii="宋体" w:hAnsi="宋体" w:eastAsia="宋体" w:cs="宋体"/>
                      <w:sz w:val="24"/>
                      <w:szCs w:val="24"/>
                    </w:rPr>
                  </w:pPr>
                  <w:r>
                    <w:rPr>
                      <w:rFonts w:hint="eastAsia" w:ascii="宋体" w:hAnsi="宋体" w:eastAsia="宋体" w:cs="宋体"/>
                      <w:sz w:val="24"/>
                      <w:szCs w:val="24"/>
                    </w:rPr>
                    <w:t>二、体痛穴位贴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高岭土</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2.05</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远红外纳米粉</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0.62</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磁性材料</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1.44</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4</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桉油</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0.005</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5</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乙醇</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2.2</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760" w:type="dxa"/>
                  <w:gridSpan w:val="6"/>
                  <w:vAlign w:val="center"/>
                </w:tcPr>
                <w:p>
                  <w:pPr>
                    <w:spacing w:after="0"/>
                    <w:jc w:val="center"/>
                    <w:rPr>
                      <w:rFonts w:ascii="宋体" w:hAnsi="宋体" w:eastAsia="宋体" w:cs="宋体"/>
                      <w:sz w:val="24"/>
                      <w:szCs w:val="24"/>
                    </w:rPr>
                  </w:pPr>
                  <w:r>
                    <w:rPr>
                      <w:rFonts w:hint="eastAsia" w:ascii="宋体" w:hAnsi="宋体" w:eastAsia="宋体" w:cs="宋体"/>
                      <w:sz w:val="24"/>
                      <w:szCs w:val="24"/>
                    </w:rPr>
                    <w:t>三、儿童感冒咳嗽理疗贴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远红外纳米粉</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0.22</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磁性材料</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0.24</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基质</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1.50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8760" w:type="dxa"/>
                  <w:gridSpan w:val="6"/>
                  <w:vAlign w:val="center"/>
                </w:tcPr>
                <w:p>
                  <w:pPr>
                    <w:spacing w:after="0"/>
                    <w:jc w:val="center"/>
                    <w:rPr>
                      <w:rFonts w:ascii="宋体" w:hAnsi="宋体" w:eastAsia="宋体" w:cs="宋体"/>
                      <w:sz w:val="24"/>
                      <w:szCs w:val="24"/>
                    </w:rPr>
                  </w:pPr>
                </w:p>
                <w:p>
                  <w:pPr>
                    <w:spacing w:after="0"/>
                    <w:jc w:val="center"/>
                    <w:rPr>
                      <w:rFonts w:ascii="宋体" w:hAnsi="宋体" w:eastAsia="宋体" w:cs="宋体"/>
                      <w:sz w:val="24"/>
                      <w:szCs w:val="24"/>
                    </w:rPr>
                  </w:pPr>
                  <w:r>
                    <w:rPr>
                      <w:rFonts w:hint="eastAsia" w:ascii="宋体" w:hAnsi="宋体" w:eastAsia="宋体" w:cs="宋体"/>
                      <w:sz w:val="24"/>
                      <w:szCs w:val="24"/>
                    </w:rPr>
                    <w:t>四、咳喘理疗贴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远红外纳米粉</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0.02</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磁性材料</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0.03</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基质</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tcPr>
                <w:p>
                  <w:pPr>
                    <w:spacing w:after="0"/>
                    <w:jc w:val="center"/>
                    <w:rPr>
                      <w:rFonts w:ascii="宋体" w:hAnsi="宋体" w:eastAsia="宋体" w:cs="宋体"/>
                      <w:sz w:val="24"/>
                      <w:szCs w:val="24"/>
                    </w:rPr>
                  </w:pPr>
                  <w:r>
                    <w:rPr>
                      <w:rFonts w:hint="eastAsia" w:ascii="宋体" w:hAnsi="宋体" w:eastAsia="宋体" w:cs="宋体"/>
                      <w:sz w:val="24"/>
                      <w:szCs w:val="24"/>
                    </w:rPr>
                    <w:t>0.05</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8760" w:type="dxa"/>
                  <w:gridSpan w:val="6"/>
                </w:tcPr>
                <w:p>
                  <w:pPr>
                    <w:spacing w:after="0"/>
                    <w:jc w:val="center"/>
                    <w:rPr>
                      <w:rFonts w:ascii="宋体" w:hAnsi="宋体" w:eastAsia="宋体" w:cs="宋体"/>
                      <w:sz w:val="24"/>
                      <w:szCs w:val="24"/>
                    </w:rPr>
                  </w:pPr>
                  <w:r>
                    <w:rPr>
                      <w:rFonts w:hint="eastAsia" w:ascii="宋体" w:hAnsi="宋体" w:eastAsia="宋体" w:cs="宋体"/>
                      <w:sz w:val="24"/>
                      <w:szCs w:val="24"/>
                    </w:rPr>
                    <w:t>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水耗</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t/a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735</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只有清洁车间和职工生活用水，无其他废水。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电耗</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kw.h/a</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31000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每年总用电量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医用透气胶布</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张</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3900000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4</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内袋</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个</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3900000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5</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纸盒</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个</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1300000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990"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6</w:t>
                  </w:r>
                </w:p>
              </w:tc>
              <w:tc>
                <w:tcPr>
                  <w:tcW w:w="1861"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大纸箱</w:t>
                  </w:r>
                </w:p>
              </w:tc>
              <w:tc>
                <w:tcPr>
                  <w:tcW w:w="1426" w:type="dxa"/>
                  <w:gridSpan w:val="2"/>
                  <w:vAlign w:val="center"/>
                </w:tcPr>
                <w:p>
                  <w:pPr>
                    <w:spacing w:after="0"/>
                    <w:jc w:val="center"/>
                    <w:rPr>
                      <w:rFonts w:ascii="宋体" w:hAnsi="宋体" w:eastAsia="宋体" w:cs="宋体"/>
                      <w:sz w:val="24"/>
                      <w:szCs w:val="24"/>
                    </w:rPr>
                  </w:pPr>
                  <w:r>
                    <w:rPr>
                      <w:rFonts w:hint="eastAsia" w:ascii="宋体" w:hAnsi="宋体" w:eastAsia="宋体" w:cs="宋体"/>
                      <w:sz w:val="24"/>
                      <w:szCs w:val="24"/>
                    </w:rPr>
                    <w:t>个</w:t>
                  </w:r>
                </w:p>
              </w:tc>
              <w:tc>
                <w:tcPr>
                  <w:tcW w:w="13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6500</w:t>
                  </w:r>
                </w:p>
              </w:tc>
              <w:tc>
                <w:tcPr>
                  <w:tcW w:w="314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每年用量</w:t>
                  </w:r>
                </w:p>
              </w:tc>
            </w:tr>
          </w:tbl>
          <w:p>
            <w:pPr>
              <w:spacing w:before="12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（2）项目水平衡图见图2-2。</w:t>
            </w:r>
          </w:p>
          <w:p>
            <w:pPr>
              <w:spacing w:before="48" w:beforeLines="20" w:after="0"/>
              <w:jc w:val="center"/>
            </w:pPr>
            <w:r>
              <w:drawing>
                <wp:inline distT="0" distB="0" distL="114300" distR="114300">
                  <wp:extent cx="5351780" cy="2230120"/>
                  <wp:effectExtent l="0" t="0" r="1270"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5351780" cy="2230120"/>
                          </a:xfrm>
                          <a:prstGeom prst="rect">
                            <a:avLst/>
                          </a:prstGeom>
                          <a:noFill/>
                          <a:ln w="9525">
                            <a:noFill/>
                          </a:ln>
                        </pic:spPr>
                      </pic:pic>
                    </a:graphicData>
                  </a:graphic>
                </wp:inline>
              </w:drawing>
            </w:r>
          </w:p>
          <w:p>
            <w:pPr>
              <w:pStyle w:val="2"/>
            </w:pPr>
          </w:p>
          <w:p>
            <w:pPr>
              <w:spacing w:after="0" w:line="360" w:lineRule="auto"/>
              <w:jc w:val="center"/>
              <w:rPr>
                <w:b/>
              </w:rPr>
            </w:pPr>
            <w:r>
              <w:rPr>
                <w:rFonts w:hint="eastAsia" w:ascii="宋体" w:hAnsi="宋体" w:eastAsia="宋体" w:cs="宋体"/>
                <w:b/>
                <w:sz w:val="24"/>
                <w:szCs w:val="24"/>
              </w:rPr>
              <w:t>2-2  项目水平衡图</w:t>
            </w:r>
            <w:r>
              <w:rPr>
                <w:rFonts w:hint="eastAsia" w:ascii="宋体" w:hAnsi="宋体" w:eastAsia="宋体" w:cs="宋体"/>
                <w:sz w:val="24"/>
                <w:szCs w:val="24"/>
              </w:rPr>
              <w:t xml:space="preserve"> （t/a）</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689" w:hRule="atLeast"/>
          <w:jc w:val="center"/>
        </w:trPr>
        <w:tc>
          <w:tcPr>
            <w:tcW w:w="9718" w:type="dxa"/>
          </w:tcPr>
          <w:p>
            <w:pPr>
              <w:spacing w:before="120" w:beforeLines="50" w:after="0" w:line="360" w:lineRule="auto"/>
              <w:ind w:firstLine="482"/>
              <w:rPr>
                <w:rFonts w:ascii="宋体" w:hAnsi="宋体" w:eastAsia="宋体" w:cs="宋体"/>
                <w:sz w:val="24"/>
                <w:szCs w:val="24"/>
              </w:rPr>
            </w:pPr>
            <w:r>
              <w:rPr>
                <w:rFonts w:hint="eastAsia" w:ascii="宋体" w:hAnsi="宋体" w:eastAsia="宋体" w:cs="宋体"/>
                <w:sz w:val="24"/>
                <w:szCs w:val="24"/>
              </w:rPr>
              <w:t>3、主要工艺流程及产物环节（附处理工艺流程图，标出产污节点）</w:t>
            </w:r>
          </w:p>
          <w:p>
            <w:pPr>
              <w:pStyle w:val="20"/>
              <w:spacing w:after="0"/>
              <w:ind w:firstLine="480"/>
              <w:rPr>
                <w:rFonts w:eastAsia="宋体"/>
              </w:rPr>
            </w:pPr>
            <w:r>
              <w:rPr>
                <w:rFonts w:hint="eastAsia" w:eastAsia="宋体"/>
                <w:szCs w:val="24"/>
              </w:rPr>
              <w:t>1、纸包装制品工艺流程；本项目产</w:t>
            </w:r>
            <w:r>
              <w:rPr>
                <w:rFonts w:hint="eastAsia" w:eastAsia="宋体"/>
                <w:bCs/>
                <w:szCs w:val="24"/>
              </w:rPr>
              <w:t>品由远红外纳米粉、磁性材料、基质和医用透气胶带组成</w:t>
            </w:r>
            <w:r>
              <w:rPr>
                <w:rFonts w:hint="eastAsia" w:eastAsia="宋体"/>
                <w:szCs w:val="24"/>
              </w:rPr>
              <w:t>得到成品。</w:t>
            </w:r>
          </w:p>
          <w:p>
            <w:pPr>
              <w:spacing w:before="48" w:beforeLines="20" w:line="360" w:lineRule="auto"/>
              <w:jc w:val="center"/>
            </w:pPr>
            <w:r>
              <w:rPr>
                <w:rFonts w:hint="eastAsia"/>
                <w:b/>
                <w:sz w:val="24"/>
                <w:szCs w:val="24"/>
              </w:rPr>
              <w:drawing>
                <wp:inline distT="0" distB="0" distL="114300" distR="114300">
                  <wp:extent cx="4514850" cy="3182620"/>
                  <wp:effectExtent l="0" t="0" r="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4514850" cy="3182620"/>
                          </a:xfrm>
                          <a:prstGeom prst="rect">
                            <a:avLst/>
                          </a:prstGeom>
                          <a:noFill/>
                          <a:ln w="9525">
                            <a:noFill/>
                          </a:ln>
                        </pic:spPr>
                      </pic:pic>
                    </a:graphicData>
                  </a:graphic>
                </wp:inline>
              </w:drawing>
            </w:r>
          </w:p>
          <w:p>
            <w:pPr>
              <w:pStyle w:val="2"/>
              <w:jc w:val="center"/>
              <w:rPr>
                <w:rFonts w:hAnsi="宋体"/>
                <w:bCs/>
                <w:color w:val="auto"/>
              </w:rPr>
            </w:pPr>
            <w:r>
              <w:rPr>
                <w:rFonts w:ascii="Times New Roman" w:hAnsi="Times New Roman" w:cs="Times New Roman"/>
                <w:bCs/>
                <w:color w:val="auto"/>
              </w:rPr>
              <w:t xml:space="preserve">2-3  </w:t>
            </w:r>
            <w:r>
              <w:rPr>
                <w:rFonts w:hint="eastAsia" w:hAnsi="宋体"/>
                <w:bCs/>
                <w:color w:val="auto"/>
              </w:rPr>
              <w:t>小儿腹泻理疗贴、儿童感冒咳嗽理疗贴和咳喘理疗贴三样的工艺流程相同，</w:t>
            </w:r>
          </w:p>
          <w:p>
            <w:pPr>
              <w:pStyle w:val="2"/>
              <w:jc w:val="center"/>
              <w:rPr>
                <w:rFonts w:hAnsi="宋体"/>
                <w:bCs/>
                <w:color w:val="auto"/>
              </w:rPr>
            </w:pPr>
            <w:r>
              <w:rPr>
                <w:rFonts w:hint="eastAsia" w:hAnsi="宋体"/>
                <w:bCs/>
                <w:color w:val="auto"/>
              </w:rPr>
              <w:t>工艺流程及产污节点图</w:t>
            </w:r>
          </w:p>
          <w:p>
            <w:pPr>
              <w:pStyle w:val="2"/>
              <w:spacing w:line="360" w:lineRule="auto"/>
              <w:ind w:firstLine="480" w:firstLineChars="200"/>
              <w:rPr>
                <w:rFonts w:ascii="Times New Roman" w:hAnsi="Times New Roman" w:cs="Times New Roman"/>
                <w:kern w:val="2"/>
                <w:szCs w:val="20"/>
              </w:rPr>
            </w:pPr>
            <w:r>
              <w:rPr>
                <w:rFonts w:hint="eastAsia" w:ascii="Times New Roman" w:hAnsi="Times New Roman" w:cs="Times New Roman"/>
                <w:kern w:val="2"/>
                <w:szCs w:val="20"/>
              </w:rPr>
              <w:t>2、项目产品由远红外纳米粉、磁性材料、填充物（高岭土）、桉油乙醇溶液和医用透气胶带组成</w:t>
            </w:r>
            <w:r>
              <w:rPr>
                <w:rFonts w:ascii="Times New Roman" w:hAnsi="Times New Roman" w:cs="Times New Roman"/>
                <w:kern w:val="2"/>
                <w:szCs w:val="20"/>
              </w:rPr>
              <w:t>。</w:t>
            </w:r>
          </w:p>
          <w:p>
            <w:pPr>
              <w:pStyle w:val="2"/>
              <w:spacing w:line="360" w:lineRule="auto"/>
              <w:ind w:left="440" w:leftChars="200"/>
            </w:pPr>
            <w:r>
              <w:rPr>
                <w:rFonts w:hAnsi="宋体"/>
              </w:rPr>
              <w:drawing>
                <wp:inline distT="0" distB="0" distL="114300" distR="114300">
                  <wp:extent cx="5038725" cy="2913380"/>
                  <wp:effectExtent l="0" t="0" r="9525"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5038725" cy="2913380"/>
                          </a:xfrm>
                          <a:prstGeom prst="rect">
                            <a:avLst/>
                          </a:prstGeom>
                          <a:noFill/>
                          <a:ln w="9525">
                            <a:noFill/>
                          </a:ln>
                        </pic:spPr>
                      </pic:pic>
                    </a:graphicData>
                  </a:graphic>
                </wp:inline>
              </w:drawing>
            </w:r>
          </w:p>
          <w:p>
            <w:pPr>
              <w:pStyle w:val="2"/>
              <w:jc w:val="center"/>
            </w:pPr>
            <w:r>
              <w:rPr>
                <w:rFonts w:hint="eastAsia" w:hAnsi="宋体"/>
                <w:bCs/>
                <w:color w:val="auto"/>
              </w:rPr>
              <w:t xml:space="preserve">2-4 </w:t>
            </w:r>
            <w:r>
              <w:rPr>
                <w:rFonts w:hint="eastAsia"/>
              </w:rPr>
              <w:t>体痛穴位贴</w:t>
            </w:r>
            <w:r>
              <w:t>生产工艺流程及排污节点示意图</w:t>
            </w:r>
          </w:p>
        </w:tc>
      </w:tr>
    </w:tbl>
    <w:p>
      <w:pPr>
        <w:spacing w:line="360" w:lineRule="auto"/>
        <w:rPr>
          <w:rFonts w:eastAsia="仿宋_GB2312"/>
          <w:color w:val="000000"/>
          <w:sz w:val="21"/>
          <w:szCs w:val="21"/>
        </w:rPr>
        <w:sectPr>
          <w:footerReference r:id="rId12" w:type="default"/>
          <w:pgSz w:w="11906" w:h="16838"/>
          <w:pgMar w:top="1440" w:right="1800" w:bottom="1440" w:left="1800" w:header="708" w:footer="708" w:gutter="0"/>
          <w:pgNumType w:start="1"/>
          <w:cols w:space="720" w:num="1"/>
          <w:docGrid w:linePitch="360" w:charSpace="0"/>
        </w:sectPr>
      </w:pPr>
    </w:p>
    <w:p>
      <w:pPr>
        <w:spacing w:after="0" w:line="360" w:lineRule="auto"/>
        <w:rPr>
          <w:rFonts w:ascii="宋体" w:hAnsi="宋体" w:eastAsia="宋体" w:cs="宋体"/>
          <w:b/>
          <w:color w:val="000000"/>
          <w:sz w:val="30"/>
          <w:szCs w:val="30"/>
        </w:rPr>
      </w:pPr>
      <w:bookmarkStart w:id="9" w:name="_Toc13200_WPSOffice_Level1"/>
      <w:r>
        <w:rPr>
          <w:rFonts w:hint="eastAsia" w:ascii="宋体" w:hAnsi="宋体" w:eastAsia="宋体" w:cs="宋体"/>
          <w:b/>
          <w:color w:val="000000"/>
          <w:sz w:val="30"/>
          <w:szCs w:val="30"/>
        </w:rPr>
        <w:t>表三  主要污染源、污染物处理和排放</w:t>
      </w:r>
      <w:bookmarkEnd w:id="9"/>
    </w:p>
    <w:tbl>
      <w:tblPr>
        <w:tblStyle w:val="18"/>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5" w:hRule="atLeast"/>
          <w:jc w:val="center"/>
        </w:trPr>
        <w:tc>
          <w:tcPr>
            <w:tcW w:w="9600" w:type="dxa"/>
          </w:tcPr>
          <w:p>
            <w:pPr>
              <w:numPr>
                <w:ilvl w:val="0"/>
                <w:numId w:val="3"/>
              </w:numPr>
              <w:spacing w:before="120" w:beforeLines="50"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废气</w:t>
            </w:r>
          </w:p>
          <w:p>
            <w:pPr>
              <w:pStyle w:val="20"/>
              <w:spacing w:after="0"/>
              <w:ind w:firstLine="480"/>
              <w:rPr>
                <w:rFonts w:eastAsia="宋体"/>
                <w:szCs w:val="24"/>
              </w:rPr>
            </w:pPr>
            <w:r>
              <w:rPr>
                <w:rFonts w:hint="eastAsia" w:eastAsia="宋体"/>
                <w:szCs w:val="24"/>
              </w:rPr>
              <w:t>（1）槽型混合机产生少量粉尘</w:t>
            </w:r>
          </w:p>
          <w:p>
            <w:pPr>
              <w:pStyle w:val="20"/>
              <w:spacing w:after="0"/>
              <w:ind w:firstLine="480"/>
              <w:rPr>
                <w:rFonts w:eastAsia="宋体"/>
                <w:szCs w:val="24"/>
              </w:rPr>
            </w:pPr>
            <w:r>
              <w:rPr>
                <w:rFonts w:hint="eastAsia" w:eastAsia="宋体"/>
                <w:szCs w:val="24"/>
              </w:rPr>
              <w:t>项目原料高岭土、远红外纳米粉、磁性材料和基质均采用密封袋装，混合机倒料口安装捕尘器，再倒料前，先开启捕尘器，进入混合机后，盖上盖子，全封闭式混合。在倒料阶段产生的少量粉尘经过捕尘器收集后，不外排，回用于生产；在混合过程中，在槽型混合机中全封闭式混合，无外排粉尘。混合阶段粉尘对环境影响较小。</w:t>
            </w:r>
          </w:p>
          <w:p>
            <w:pPr>
              <w:pStyle w:val="20"/>
              <w:spacing w:after="0"/>
              <w:ind w:firstLine="480"/>
              <w:rPr>
                <w:rFonts w:eastAsia="宋体"/>
                <w:szCs w:val="24"/>
              </w:rPr>
            </w:pPr>
            <w:r>
              <w:rPr>
                <w:rFonts w:hint="eastAsia" w:eastAsia="宋体"/>
                <w:szCs w:val="24"/>
              </w:rPr>
              <w:t>（2）加工废气</w:t>
            </w:r>
          </w:p>
          <w:p>
            <w:pPr>
              <w:pStyle w:val="20"/>
              <w:spacing w:after="0"/>
              <w:ind w:firstLine="480"/>
              <w:rPr>
                <w:rFonts w:eastAsia="宋体"/>
                <w:szCs w:val="24"/>
              </w:rPr>
            </w:pPr>
            <w:r>
              <w:rPr>
                <w:rFonts w:hint="eastAsia" w:eastAsia="宋体"/>
                <w:szCs w:val="24"/>
              </w:rPr>
              <w:t>项目加工过程温度较低，且在混合阶段密闭，并且生产车间的装修是按照无菌实验室要求装修，在制片和贴片间安装有排风扇，气体通过排风扇进入活性炭过滤装置，由管道引至楼顶排放，生产工人在生产过程中采取佩戴口罩。项目挥发性有机物产生量较小，对周围居民和生产工人影响较小。</w:t>
            </w:r>
          </w:p>
          <w:p>
            <w:pPr>
              <w:pStyle w:val="20"/>
              <w:spacing w:after="0"/>
              <w:ind w:firstLine="482"/>
              <w:rPr>
                <w:rFonts w:eastAsia="宋体"/>
                <w:b/>
                <w:szCs w:val="24"/>
              </w:rPr>
            </w:pPr>
            <w:r>
              <w:rPr>
                <w:rFonts w:hint="eastAsia" w:eastAsia="宋体"/>
                <w:b/>
                <w:szCs w:val="24"/>
              </w:rPr>
              <w:t>2、废水</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废水主要为地面清洗废水和职工生活污水，经过标准厂房独立化粪池处理后达到《污水综合排放标准》（GB8978-1996）表4中三级标准，汇入污水管网，进入市政污水管网，排入下五屯污水处理厂处理达《城镇污水处理厂污染物排放标准》中一级A标准后排入纳灰河。</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3、噪声</w:t>
            </w:r>
          </w:p>
          <w:p>
            <w:pPr>
              <w:spacing w:after="0" w:line="360" w:lineRule="auto"/>
              <w:ind w:firstLine="480" w:firstLineChars="200"/>
              <w:rPr>
                <w:rFonts w:eastAsia="宋体"/>
                <w:sz w:val="24"/>
                <w:szCs w:val="24"/>
              </w:rPr>
            </w:pPr>
            <w:r>
              <w:rPr>
                <w:rFonts w:hint="eastAsia" w:eastAsia="宋体"/>
                <w:sz w:val="24"/>
                <w:szCs w:val="24"/>
              </w:rPr>
              <w:t>项目运营期噪声主要来自于配制罐、混合机、自动填充机、压片机、塑料薄膜封口机、运输车辆噪声、车间排风扇及空调外机。</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生产设备采取隔音、减震、消声措施；加强设备的维修保养，适时添加润滑剂防止设备老化；合理布置车间，尽量将产噪设备远离敏感目标，排风扇在装修制片和贴片间时安装于房屋顶面，经过房屋双层墙体衰减，空调外机安装于楼顶，采用防声罩处理；对于车辆噪声应限速行驶，尤其在夜间禁鸣喇叭，合理安排运输时间，尽量避开中午12：00~14：00及夜间22:00~次日06:00运输。</w:t>
            </w:r>
          </w:p>
          <w:p>
            <w:pPr>
              <w:spacing w:after="0" w:line="360" w:lineRule="auto"/>
              <w:ind w:firstLine="482" w:firstLineChars="200"/>
              <w:rPr>
                <w:rFonts w:ascii="宋体" w:hAnsi="宋体" w:eastAsia="宋体" w:cs="宋体"/>
                <w:sz w:val="24"/>
                <w:szCs w:val="24"/>
              </w:rPr>
            </w:pPr>
            <w:r>
              <w:rPr>
                <w:rFonts w:hint="eastAsia" w:ascii="宋体" w:hAnsi="宋体" w:eastAsia="宋体" w:cs="宋体"/>
                <w:b/>
                <w:sz w:val="24"/>
                <w:szCs w:val="24"/>
              </w:rPr>
              <w:t>4、固体废物</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项目固废为原材料包装箱、盛装桉油和乙醇容器、制片和贴片产生的边料、生活垃圾和化粪池污泥。</w:t>
            </w:r>
          </w:p>
          <w:p>
            <w:pPr>
              <w:widowControl w:val="0"/>
              <w:spacing w:after="0" w:line="360" w:lineRule="auto"/>
              <w:ind w:firstLine="480" w:firstLineChars="200"/>
              <w:jc w:val="both"/>
            </w:pPr>
            <w:r>
              <w:rPr>
                <w:rFonts w:hint="eastAsia" w:ascii="宋体" w:hAnsi="宋体" w:eastAsia="宋体" w:cs="宋体"/>
                <w:sz w:val="24"/>
                <w:szCs w:val="24"/>
              </w:rPr>
              <w:t>原材料包装箱外售给造纸厂。产生的盛装容器瓶由生产公司回收再利用，不外排。制片和贴片产生的边料收集送回槽型混合机混合再利用，不外排。生活垃圾在生产车间集中收集后，运至附近垃圾回收点，由当地环卫部门统一处理。化粪池污泥为一般固废，定期清掏，由环卫吸粪车清运至污水处理厂进行进一步处理。废活性炭由厂家及时回收，不外排。</w:t>
            </w:r>
          </w:p>
        </w:tc>
      </w:tr>
    </w:tbl>
    <w:p>
      <w:pPr>
        <w:spacing w:after="0" w:line="360" w:lineRule="auto"/>
        <w:rPr>
          <w:rFonts w:ascii="宋体" w:hAnsi="宋体" w:eastAsia="宋体" w:cs="宋体"/>
          <w:b/>
          <w:color w:val="000000"/>
          <w:spacing w:val="-20"/>
          <w:sz w:val="30"/>
          <w:szCs w:val="30"/>
        </w:rPr>
      </w:pPr>
      <w:bookmarkStart w:id="10" w:name="_Toc31019_WPSOffice_Level1"/>
    </w:p>
    <w:p>
      <w:pPr>
        <w:spacing w:after="0" w:line="360" w:lineRule="auto"/>
        <w:rPr>
          <w:rFonts w:ascii="宋体" w:hAnsi="宋体" w:eastAsia="宋体" w:cs="宋体"/>
          <w:b/>
          <w:color w:val="000000"/>
          <w:spacing w:val="-20"/>
          <w:sz w:val="30"/>
          <w:szCs w:val="30"/>
        </w:rPr>
      </w:pPr>
      <w:r>
        <w:rPr>
          <w:rFonts w:hint="eastAsia" w:ascii="宋体" w:hAnsi="宋体" w:eastAsia="宋体" w:cs="宋体"/>
          <w:b/>
          <w:color w:val="000000"/>
          <w:spacing w:val="-20"/>
          <w:sz w:val="30"/>
          <w:szCs w:val="30"/>
        </w:rPr>
        <w:t>表四  建设项目环境影响报告表主要结论及审批部门审批决定</w:t>
      </w:r>
      <w:bookmarkEnd w:id="10"/>
    </w:p>
    <w:tbl>
      <w:tblPr>
        <w:tblStyle w:val="18"/>
        <w:tblW w:w="8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7" w:hRule="atLeast"/>
          <w:jc w:val="center"/>
        </w:trPr>
        <w:tc>
          <w:tcPr>
            <w:tcW w:w="8956" w:type="dxa"/>
          </w:tcPr>
          <w:p>
            <w:pPr>
              <w:spacing w:before="120" w:beforeLines="50" w:after="0" w:line="360" w:lineRule="auto"/>
              <w:rPr>
                <w:rFonts w:ascii="宋体" w:hAnsi="宋体" w:eastAsia="宋体" w:cs="宋体"/>
                <w:b/>
                <w:sz w:val="24"/>
                <w:szCs w:val="24"/>
              </w:rPr>
            </w:pPr>
            <w:r>
              <w:rPr>
                <w:rFonts w:hint="eastAsia" w:ascii="宋体" w:hAnsi="宋体" w:eastAsia="宋体" w:cs="宋体"/>
                <w:b/>
                <w:sz w:val="21"/>
                <w:szCs w:val="21"/>
              </w:rPr>
              <w:t>一</w:t>
            </w:r>
            <w:r>
              <w:rPr>
                <w:rFonts w:hint="eastAsia" w:ascii="宋体" w:hAnsi="宋体" w:eastAsia="宋体" w:cs="宋体"/>
                <w:b/>
                <w:sz w:val="24"/>
                <w:szCs w:val="24"/>
              </w:rPr>
              <w:t>、环评结论</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1、大气污染措施</w:t>
            </w:r>
          </w:p>
          <w:p>
            <w:pPr>
              <w:pStyle w:val="20"/>
              <w:spacing w:after="0"/>
              <w:ind w:firstLine="480"/>
              <w:rPr>
                <w:rFonts w:eastAsia="宋体"/>
                <w:szCs w:val="24"/>
              </w:rPr>
            </w:pPr>
            <w:r>
              <w:rPr>
                <w:rFonts w:hint="eastAsia" w:eastAsia="宋体"/>
                <w:szCs w:val="24"/>
              </w:rPr>
              <w:t>（1）槽型混合机产生少量粉尘</w:t>
            </w:r>
          </w:p>
          <w:p>
            <w:pPr>
              <w:pStyle w:val="20"/>
              <w:spacing w:after="0"/>
              <w:ind w:firstLine="480"/>
              <w:rPr>
                <w:rFonts w:eastAsia="宋体"/>
                <w:szCs w:val="24"/>
              </w:rPr>
            </w:pPr>
            <w:r>
              <w:rPr>
                <w:rFonts w:hint="eastAsia" w:eastAsia="宋体"/>
                <w:szCs w:val="24"/>
              </w:rPr>
              <w:t>项目原料高岭土、远红外纳米粉、磁性材料和基质均采用密封袋装，混合机倒料口安装捕尘器，再倒料前，先开启捕尘器，进入混合机后，盖上盖子，全封闭式混合。在倒料阶段产生的少量粉尘经过捕尘器收集后，不外排，回用于生产；在混合过程中，在槽型混合机中全封闭式混合，无外排粉尘。混合阶段粉尘对环境影响较小。</w:t>
            </w:r>
          </w:p>
          <w:p>
            <w:pPr>
              <w:pStyle w:val="20"/>
              <w:spacing w:after="0"/>
              <w:ind w:firstLine="480"/>
              <w:rPr>
                <w:rFonts w:eastAsia="宋体"/>
                <w:szCs w:val="24"/>
              </w:rPr>
            </w:pPr>
            <w:r>
              <w:rPr>
                <w:rFonts w:hint="eastAsia" w:eastAsia="宋体"/>
                <w:szCs w:val="24"/>
              </w:rPr>
              <w:t>（2）加工废气</w:t>
            </w:r>
          </w:p>
          <w:p>
            <w:pPr>
              <w:pStyle w:val="20"/>
              <w:spacing w:after="0"/>
              <w:ind w:firstLine="480"/>
              <w:rPr>
                <w:rFonts w:eastAsia="宋体"/>
                <w:szCs w:val="24"/>
              </w:rPr>
            </w:pPr>
            <w:r>
              <w:rPr>
                <w:rFonts w:hint="eastAsia" w:eastAsia="宋体"/>
                <w:szCs w:val="24"/>
              </w:rPr>
              <w:t>项目加工过程温度较低，且在混合阶段密闭，并且生产车间的装修是按照无菌实验室要求装修，在制片和贴片间安装有排风扇，气体通过排风扇进入活性炭过滤装置，由管道引至楼顶排放，生产工人在生产过程中采取佩戴口罩。项目挥发性有机物产生量较小，对周围居民和生产工人影响较小。</w:t>
            </w:r>
          </w:p>
          <w:p>
            <w:pPr>
              <w:pStyle w:val="20"/>
              <w:spacing w:after="0"/>
              <w:ind w:firstLine="482"/>
              <w:rPr>
                <w:rFonts w:eastAsia="宋体"/>
                <w:b/>
                <w:szCs w:val="24"/>
              </w:rPr>
            </w:pPr>
            <w:r>
              <w:rPr>
                <w:rFonts w:hint="eastAsia" w:eastAsia="宋体"/>
                <w:b/>
                <w:szCs w:val="24"/>
              </w:rPr>
              <w:t>2、水污染措施</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废水主要为地面清洗废水和职工生活污水，经过标准厂房独立化粪池处理后达到《污水综合排放标准》（GB8978-1996）表4中三级标准，汇入污水管网，进入市政污水管网，排入下五屯污水处理厂处理达《城镇污水处理厂污染物排放标准》中一级A标准后排入纳灰河。</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3、噪声污染措施</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生产设备采取隔音、减震、消声措施；加强设备的维修保养，适时添加润滑剂防止设备老化；合理布置车间，尽量将产噪设备远离敏感目标，排风扇在装修制片和贴片间时安装于房屋顶面，经过房屋双层墙体衰减，空调外机安装于楼顶，采用防声罩处理；对于车辆噪声应限速行驶，尤其在夜间禁鸣喇叭，合理安排运输时间，尽量避开中午12：00~14：00及夜间22:00~次日06:00运输。</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4、固体废物</w:t>
            </w:r>
          </w:p>
          <w:p>
            <w:pPr>
              <w:pStyle w:val="46"/>
              <w:spacing w:after="0" w:line="360" w:lineRule="auto"/>
              <w:ind w:firstLine="480"/>
              <w:rPr>
                <w:rFonts w:ascii="宋体" w:hAnsi="宋体" w:eastAsia="宋体" w:cs="宋体"/>
                <w:b/>
                <w:bCs/>
                <w:sz w:val="24"/>
                <w:szCs w:val="24"/>
              </w:rPr>
            </w:pPr>
            <w:r>
              <w:rPr>
                <w:rFonts w:hint="eastAsia" w:ascii="宋体" w:hAnsi="宋体" w:eastAsia="宋体" w:cs="宋体"/>
                <w:sz w:val="24"/>
                <w:szCs w:val="24"/>
              </w:rPr>
              <w:t>项目原材料包装箱外售给造纸厂。产生的盛装容器瓶由生产公司回收再利用，不外排。制片和贴片产生的边料收集送回槽型混合机混合再利用，不外排。生活垃圾在生产车间集中收集后，运至附近垃圾回收点，由当地环卫部门统一处理。化粪池污泥为一般固废，定期清掏，由环卫吸粪车清运至污水处理厂进行进一步处理。废活性炭由厂家及时回收，不外排。</w:t>
            </w:r>
          </w:p>
          <w:p>
            <w:pPr>
              <w:pStyle w:val="46"/>
              <w:numPr>
                <w:ilvl w:val="0"/>
                <w:numId w:val="4"/>
              </w:numPr>
              <w:spacing w:after="0"/>
              <w:ind w:firstLine="482"/>
              <w:rPr>
                <w:rFonts w:ascii="宋体" w:hAnsi="宋体" w:eastAsia="宋体" w:cs="宋体"/>
                <w:b/>
                <w:bCs/>
                <w:sz w:val="24"/>
                <w:szCs w:val="24"/>
              </w:rPr>
            </w:pPr>
            <w:r>
              <w:rPr>
                <w:rFonts w:hint="eastAsia" w:ascii="宋体" w:hAnsi="宋体" w:eastAsia="宋体" w:cs="宋体"/>
                <w:b/>
                <w:bCs/>
                <w:sz w:val="24"/>
                <w:szCs w:val="24"/>
              </w:rPr>
              <w:t>环评批复要求</w:t>
            </w:r>
          </w:p>
          <w:p>
            <w:pPr>
              <w:pStyle w:val="46"/>
              <w:spacing w:after="0"/>
              <w:ind w:firstLine="480"/>
              <w:rPr>
                <w:rFonts w:ascii="宋体" w:hAnsi="宋体" w:eastAsia="宋体" w:cs="宋体"/>
                <w:b/>
                <w:bCs/>
                <w:sz w:val="24"/>
                <w:szCs w:val="24"/>
              </w:rPr>
            </w:pPr>
            <w:r>
              <w:rPr>
                <w:rFonts w:hint="eastAsia" w:ascii="宋体" w:hAnsi="宋体" w:eastAsia="宋体" w:cs="宋体"/>
                <w:sz w:val="24"/>
                <w:szCs w:val="24"/>
              </w:rPr>
              <w:t>黔西南州环境保护局关于对《兴义市苗通外用膏贴生产线建设项目环境影响报告表》的核准意见（州环核[2018]08号）（见附件2）。</w:t>
            </w:r>
          </w:p>
          <w:p>
            <w:pPr>
              <w:pStyle w:val="46"/>
              <w:spacing w:after="0"/>
              <w:ind w:firstLine="480"/>
              <w:rPr>
                <w:rFonts w:ascii="宋体" w:hAnsi="宋体" w:eastAsia="宋体" w:cs="宋体"/>
                <w:sz w:val="24"/>
                <w:szCs w:val="24"/>
              </w:rPr>
            </w:pPr>
            <w:r>
              <w:rPr>
                <w:rFonts w:hint="eastAsia" w:ascii="宋体" w:hAnsi="宋体" w:eastAsia="宋体" w:cs="宋体"/>
                <w:sz w:val="24"/>
                <w:szCs w:val="24"/>
              </w:rPr>
              <w:t>环评批复摘抄：</w:t>
            </w:r>
          </w:p>
          <w:p>
            <w:pPr>
              <w:pStyle w:val="46"/>
              <w:spacing w:after="0"/>
              <w:ind w:firstLine="480"/>
              <w:rPr>
                <w:rFonts w:ascii="宋体" w:hAnsi="宋体" w:eastAsia="宋体" w:cs="宋体"/>
                <w:sz w:val="24"/>
                <w:szCs w:val="24"/>
              </w:rPr>
            </w:pPr>
            <w:r>
              <w:rPr>
                <w:rFonts w:hint="eastAsia" w:ascii="宋体" w:hAnsi="宋体" w:eastAsia="宋体" w:cs="宋体"/>
                <w:sz w:val="24"/>
                <w:szCs w:val="24"/>
              </w:rPr>
              <w:t>1、认真落实环保“三同时”制度，环保设施必须纳入施工合同，保证环保设施建设进度和资金。</w:t>
            </w:r>
          </w:p>
          <w:p>
            <w:pPr>
              <w:pStyle w:val="46"/>
              <w:spacing w:after="0"/>
              <w:ind w:firstLine="480"/>
              <w:rPr>
                <w:rFonts w:ascii="宋体" w:hAnsi="宋体" w:eastAsia="宋体" w:cs="宋体"/>
                <w:sz w:val="24"/>
                <w:szCs w:val="24"/>
              </w:rPr>
            </w:pPr>
            <w:r>
              <w:rPr>
                <w:rFonts w:hint="eastAsia" w:ascii="宋体" w:hAnsi="宋体" w:eastAsia="宋体" w:cs="宋体"/>
                <w:sz w:val="24"/>
                <w:szCs w:val="24"/>
              </w:rPr>
              <w:t>2、《报告表》经批准后，建设项目性质、规模、地点、采用的生产工艺或防治污染，防止生态破坏的措施发生重大变动的，你公司应当重新向我局报批《报告表》。本批复下达之日起5年方决定开工建设的，须报我局重新审核《报告表》。</w:t>
            </w:r>
          </w:p>
          <w:p>
            <w:pPr>
              <w:pStyle w:val="46"/>
              <w:spacing w:after="0"/>
              <w:ind w:firstLine="480"/>
              <w:rPr>
                <w:rFonts w:ascii="宋体" w:hAnsi="宋体" w:eastAsia="宋体" w:cs="宋体"/>
                <w:sz w:val="24"/>
                <w:szCs w:val="24"/>
              </w:rPr>
            </w:pPr>
            <w:r>
              <w:rPr>
                <w:rFonts w:hint="eastAsia" w:ascii="宋体" w:hAnsi="宋体" w:eastAsia="宋体" w:cs="宋体"/>
                <w:sz w:val="24"/>
                <w:szCs w:val="24"/>
              </w:rPr>
              <w:t>3、建设项目竣工后，你公司应自行组织环境保护竣工验收，验收结果向社会公开，并在环保部网站上备案。</w:t>
            </w:r>
          </w:p>
          <w:p>
            <w:pPr>
              <w:spacing w:line="540" w:lineRule="exact"/>
              <w:ind w:firstLine="480" w:firstLineChars="200"/>
              <w:rPr>
                <w:rFonts w:ascii="宋体" w:hAnsi="宋体" w:eastAsia="宋体" w:cs="宋体"/>
                <w:color w:val="000000"/>
                <w:sz w:val="21"/>
                <w:szCs w:val="21"/>
              </w:rPr>
            </w:pPr>
            <w:r>
              <w:rPr>
                <w:rFonts w:hint="eastAsia" w:ascii="宋体" w:hAnsi="宋体" w:eastAsia="宋体" w:cs="宋体"/>
                <w:color w:val="000000"/>
                <w:sz w:val="24"/>
                <w:szCs w:val="24"/>
              </w:rPr>
              <w:t>4、你公司应主动接受各级环保部门的监督检查。该项目的日常环境监督管理工作由兴义市环境保护局负责。</w:t>
            </w: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0"/>
          <w:szCs w:val="30"/>
        </w:rPr>
      </w:pPr>
      <w:bookmarkStart w:id="11" w:name="_Toc9754_WPSOffice_Level1"/>
      <w:r>
        <w:rPr>
          <w:rFonts w:hint="eastAsia" w:ascii="宋体" w:hAnsi="宋体" w:eastAsia="宋体" w:cs="宋体"/>
          <w:b/>
          <w:color w:val="000000"/>
          <w:sz w:val="30"/>
          <w:szCs w:val="30"/>
        </w:rPr>
        <w:t>表五  验收监测质量保证及质量控制</w:t>
      </w:r>
      <w:bookmarkEnd w:id="11"/>
    </w:p>
    <w:tbl>
      <w:tblPr>
        <w:tblStyle w:val="18"/>
        <w:tblW w:w="9414" w:type="dxa"/>
        <w:jc w:val="center"/>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8" w:hRule="atLeast"/>
          <w:jc w:val="center"/>
        </w:trPr>
        <w:tc>
          <w:tcPr>
            <w:tcW w:w="9414" w:type="dxa"/>
          </w:tcPr>
          <w:p>
            <w:pPr>
              <w:spacing w:after="0" w:line="540" w:lineRule="exact"/>
              <w:rPr>
                <w:rFonts w:ascii="宋体" w:hAnsi="宋体" w:eastAsia="宋体" w:cs="宋体"/>
                <w:color w:val="000000"/>
                <w:sz w:val="24"/>
                <w:szCs w:val="24"/>
              </w:rPr>
            </w:pPr>
            <w:r>
              <w:rPr>
                <w:rFonts w:hint="eastAsia" w:ascii="宋体" w:hAnsi="宋体" w:eastAsia="宋体" w:cs="宋体"/>
                <w:color w:val="000000"/>
                <w:sz w:val="24"/>
                <w:szCs w:val="24"/>
              </w:rPr>
              <w:t>验收监测质量保证及质量控制：</w:t>
            </w:r>
          </w:p>
          <w:p>
            <w:pPr>
              <w:widowControl w:val="0"/>
              <w:spacing w:before="120" w:beforeLines="50" w:after="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1、气体监测分析过程中的质量保证和质量控制</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所用监测仪器，量具经计量部门检定合格并在有效期内，被监测、排放物的浓度在仪器量程的有效范围内。</w:t>
            </w:r>
          </w:p>
          <w:p>
            <w:pPr>
              <w:widowControl w:val="0"/>
              <w:spacing w:before="120" w:beforeLines="50" w:after="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2、噪声测量分析过程中的质量保证和质量控制</w:t>
            </w:r>
          </w:p>
          <w:p>
            <w:pPr>
              <w:widowControl w:val="0"/>
              <w:spacing w:before="120" w:beforeLines="5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声级计在测量前后用标准发声器进行校准，误差小于0.5dB（A）。</w:t>
            </w:r>
          </w:p>
          <w:p>
            <w:pPr>
              <w:widowControl w:val="0"/>
              <w:spacing w:before="120" w:beforeLines="50" w:after="0" w:line="360" w:lineRule="auto"/>
              <w:ind w:left="440" w:leftChars="200"/>
              <w:rPr>
                <w:rFonts w:ascii="宋体" w:hAnsi="宋体" w:eastAsia="宋体" w:cs="宋体"/>
                <w:b/>
                <w:bCs/>
                <w:sz w:val="24"/>
                <w:szCs w:val="24"/>
              </w:rPr>
            </w:pPr>
            <w:r>
              <w:rPr>
                <w:rFonts w:hint="eastAsia" w:ascii="宋体" w:hAnsi="宋体" w:eastAsia="宋体" w:cs="宋体"/>
                <w:b/>
                <w:bCs/>
                <w:sz w:val="24"/>
                <w:szCs w:val="24"/>
              </w:rPr>
              <w:t>3、监测人员持证上岗，监测数据严格执行三级审核制度</w:t>
            </w:r>
          </w:p>
          <w:p>
            <w:pPr>
              <w:pStyle w:val="26"/>
              <w:spacing w:before="48" w:beforeLines="20" w:line="360" w:lineRule="auto"/>
              <w:ind w:firstLine="0" w:firstLineChars="0"/>
              <w:rPr>
                <w:rFonts w:eastAsia="仿宋_GB2312"/>
                <w:color w:val="000000"/>
                <w:szCs w:val="21"/>
              </w:rPr>
            </w:pPr>
          </w:p>
        </w:tc>
      </w:tr>
    </w:tbl>
    <w:p>
      <w:pPr>
        <w:spacing w:after="0" w:line="360" w:lineRule="auto"/>
        <w:rPr>
          <w:rFonts w:ascii="宋体" w:hAnsi="宋体" w:eastAsia="宋体" w:cs="宋体"/>
          <w:b/>
          <w:color w:val="000000"/>
          <w:sz w:val="30"/>
          <w:szCs w:val="30"/>
        </w:rPr>
      </w:pPr>
      <w:bookmarkStart w:id="12" w:name="_Toc22459_WPSOffice_Level1"/>
      <w:r>
        <w:rPr>
          <w:rFonts w:hint="eastAsia" w:ascii="宋体" w:hAnsi="宋体" w:eastAsia="宋体" w:cs="宋体"/>
          <w:b/>
          <w:color w:val="000000"/>
          <w:sz w:val="30"/>
          <w:szCs w:val="30"/>
        </w:rPr>
        <w:t>表六  验收监测内容及分析方法</w:t>
      </w:r>
      <w:bookmarkEnd w:id="12"/>
    </w:p>
    <w:tbl>
      <w:tblPr>
        <w:tblStyle w:val="18"/>
        <w:tblW w:w="9050"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8" w:hRule="atLeast"/>
          <w:jc w:val="center"/>
        </w:trPr>
        <w:tc>
          <w:tcPr>
            <w:tcW w:w="9050" w:type="dxa"/>
          </w:tcPr>
          <w:p>
            <w:pPr>
              <w:pStyle w:val="20"/>
              <w:spacing w:before="120" w:beforeLines="50" w:after="0" w:line="240" w:lineRule="auto"/>
              <w:ind w:firstLine="0" w:firstLineChars="0"/>
              <w:rPr>
                <w:rFonts w:eastAsia="宋体"/>
                <w:szCs w:val="24"/>
              </w:rPr>
            </w:pPr>
            <w:r>
              <w:rPr>
                <w:rFonts w:hint="eastAsia" w:eastAsia="宋体"/>
                <w:szCs w:val="24"/>
              </w:rPr>
              <w:t>1、验收监测内容见表6-1。</w:t>
            </w:r>
          </w:p>
          <w:p>
            <w:pPr>
              <w:pStyle w:val="46"/>
              <w:adjustRightInd/>
              <w:spacing w:after="120" w:afterLines="50" w:line="240" w:lineRule="auto"/>
              <w:ind w:firstLine="480"/>
              <w:jc w:val="center"/>
              <w:rPr>
                <w:rFonts w:ascii="宋体" w:hAnsi="宋体" w:eastAsia="宋体" w:cs="宋体"/>
                <w:sz w:val="24"/>
                <w:szCs w:val="24"/>
              </w:rPr>
            </w:pPr>
            <w:r>
              <w:rPr>
                <w:rFonts w:hint="eastAsia" w:ascii="宋体" w:hAnsi="宋体" w:eastAsia="宋体" w:cs="宋体"/>
                <w:sz w:val="24"/>
                <w:szCs w:val="24"/>
              </w:rPr>
              <w:t>表6-1 验收监测内容</w:t>
            </w:r>
          </w:p>
          <w:tbl>
            <w:tblPr>
              <w:tblStyle w:val="19"/>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937"/>
              <w:gridCol w:w="668"/>
              <w:gridCol w:w="1988"/>
              <w:gridCol w:w="2064"/>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740" w:type="dxa"/>
                  <w:gridSpan w:val="2"/>
                  <w:vAlign w:val="center"/>
                </w:tcPr>
                <w:p>
                  <w:pPr>
                    <w:pStyle w:val="47"/>
                    <w:widowControl/>
                    <w:spacing w:after="0"/>
                    <w:rPr>
                      <w:rFonts w:ascii="宋体" w:hAnsi="宋体" w:eastAsia="宋体" w:cs="宋体"/>
                      <w:szCs w:val="21"/>
                    </w:rPr>
                  </w:pPr>
                  <w:r>
                    <w:rPr>
                      <w:rFonts w:hint="eastAsia" w:ascii="宋体" w:hAnsi="宋体" w:eastAsia="宋体" w:cs="宋体"/>
                      <w:szCs w:val="21"/>
                    </w:rPr>
                    <w:t>类别</w:t>
                  </w:r>
                </w:p>
              </w:tc>
              <w:tc>
                <w:tcPr>
                  <w:tcW w:w="66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序号</w:t>
                  </w:r>
                </w:p>
              </w:tc>
              <w:tc>
                <w:tcPr>
                  <w:tcW w:w="198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监测点位</w:t>
                  </w:r>
                </w:p>
              </w:tc>
              <w:tc>
                <w:tcPr>
                  <w:tcW w:w="2064"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监测项目</w:t>
                  </w:r>
                </w:p>
              </w:tc>
              <w:tc>
                <w:tcPr>
                  <w:tcW w:w="2196"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废气</w:t>
                  </w:r>
                </w:p>
              </w:tc>
              <w:tc>
                <w:tcPr>
                  <w:tcW w:w="937"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无组织废气</w:t>
                  </w:r>
                </w:p>
              </w:tc>
              <w:tc>
                <w:tcPr>
                  <w:tcW w:w="668" w:type="dxa"/>
                  <w:vAlign w:val="center"/>
                </w:tcPr>
                <w:p>
                  <w:pPr>
                    <w:pStyle w:val="47"/>
                    <w:widowControl/>
                    <w:spacing w:after="0"/>
                    <w:rPr>
                      <w:rFonts w:eastAsia="宋体"/>
                      <w:szCs w:val="21"/>
                    </w:rPr>
                  </w:pPr>
                  <w:r>
                    <w:rPr>
                      <w:rFonts w:eastAsia="宋体"/>
                      <w:szCs w:val="21"/>
                    </w:rPr>
                    <w:t>G1</w:t>
                  </w:r>
                </w:p>
              </w:tc>
              <w:tc>
                <w:tcPr>
                  <w:tcW w:w="1988" w:type="dxa"/>
                  <w:vAlign w:val="center"/>
                </w:tcPr>
                <w:p>
                  <w:pPr>
                    <w:widowControl w:val="0"/>
                    <w:tabs>
                      <w:tab w:val="left" w:pos="2520"/>
                      <w:tab w:val="left" w:pos="2880"/>
                      <w:tab w:val="left" w:pos="3060"/>
                    </w:tabs>
                    <w:adjustRightInd/>
                    <w:spacing w:after="0"/>
                    <w:jc w:val="center"/>
                    <w:rPr>
                      <w:rFonts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厂界南侧</w:t>
                  </w:r>
                </w:p>
              </w:tc>
              <w:tc>
                <w:tcPr>
                  <w:tcW w:w="2064"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总悬浮颗粒物、非甲烷总烃</w:t>
                  </w:r>
                </w:p>
              </w:tc>
              <w:tc>
                <w:tcPr>
                  <w:tcW w:w="2196"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连续采样2天，每天采样4次，每次间隔2小时。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G2</w:t>
                  </w:r>
                </w:p>
              </w:tc>
              <w:tc>
                <w:tcPr>
                  <w:tcW w:w="1988" w:type="dxa"/>
                  <w:vAlign w:val="center"/>
                </w:tcPr>
                <w:p>
                  <w:pPr>
                    <w:widowControl w:val="0"/>
                    <w:tabs>
                      <w:tab w:val="left" w:pos="2520"/>
                      <w:tab w:val="left" w:pos="2880"/>
                      <w:tab w:val="left" w:pos="3060"/>
                    </w:tabs>
                    <w:adjustRightInd/>
                    <w:spacing w:after="0"/>
                    <w:jc w:val="center"/>
                    <w:rPr>
                      <w:rFonts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厂界</w:t>
                  </w:r>
                  <w:r>
                    <w:rPr>
                      <w:rFonts w:hint="eastAsia" w:ascii="宋体" w:hAnsi="宋体" w:eastAsia="宋体" w:cs="宋体"/>
                      <w:color w:val="000000" w:themeColor="text1"/>
                      <w:sz w:val="21"/>
                      <w:szCs w:val="21"/>
                      <w14:textFill>
                        <w14:solidFill>
                          <w14:schemeClr w14:val="tx1"/>
                        </w14:solidFill>
                      </w14:textFill>
                    </w:rPr>
                    <w:t>西侧</w:t>
                  </w:r>
                </w:p>
              </w:tc>
              <w:tc>
                <w:tcPr>
                  <w:tcW w:w="2064"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G3</w:t>
                  </w:r>
                </w:p>
              </w:tc>
              <w:tc>
                <w:tcPr>
                  <w:tcW w:w="1988" w:type="dxa"/>
                  <w:vAlign w:val="center"/>
                </w:tcPr>
                <w:p>
                  <w:pPr>
                    <w:widowControl w:val="0"/>
                    <w:tabs>
                      <w:tab w:val="left" w:pos="2520"/>
                      <w:tab w:val="left" w:pos="2880"/>
                      <w:tab w:val="left" w:pos="3060"/>
                    </w:tabs>
                    <w:adjustRightInd/>
                    <w:spacing w:after="0"/>
                    <w:jc w:val="center"/>
                    <w:rPr>
                      <w:rFonts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厂界北侧</w:t>
                  </w:r>
                </w:p>
              </w:tc>
              <w:tc>
                <w:tcPr>
                  <w:tcW w:w="2064"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G4</w:t>
                  </w:r>
                </w:p>
              </w:tc>
              <w:tc>
                <w:tcPr>
                  <w:tcW w:w="1988" w:type="dxa"/>
                  <w:vAlign w:val="center"/>
                </w:tcPr>
                <w:p>
                  <w:pPr>
                    <w:widowControl w:val="0"/>
                    <w:tabs>
                      <w:tab w:val="left" w:pos="2520"/>
                      <w:tab w:val="left" w:pos="2880"/>
                      <w:tab w:val="left" w:pos="3060"/>
                    </w:tabs>
                    <w:adjustRightInd/>
                    <w:spacing w:after="0"/>
                    <w:jc w:val="center"/>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厂界</w:t>
                  </w:r>
                  <w:r>
                    <w:rPr>
                      <w:rFonts w:hint="eastAsia" w:ascii="宋体" w:hAnsi="宋体" w:eastAsia="宋体" w:cs="宋体"/>
                      <w:bCs/>
                      <w:color w:val="000000" w:themeColor="text1"/>
                      <w:sz w:val="21"/>
                      <w:szCs w:val="21"/>
                      <w14:textFill>
                        <w14:solidFill>
                          <w14:schemeClr w14:val="tx1"/>
                        </w14:solidFill>
                      </w14:textFill>
                    </w:rPr>
                    <w:t>东侧</w:t>
                  </w:r>
                </w:p>
              </w:tc>
              <w:tc>
                <w:tcPr>
                  <w:tcW w:w="2064"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803"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噪声</w:t>
                  </w:r>
                </w:p>
              </w:tc>
              <w:tc>
                <w:tcPr>
                  <w:tcW w:w="937"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厂界</w:t>
                  </w:r>
                </w:p>
                <w:p>
                  <w:pPr>
                    <w:pStyle w:val="47"/>
                    <w:widowControl/>
                    <w:spacing w:after="0"/>
                    <w:rPr>
                      <w:rFonts w:ascii="宋体" w:hAnsi="宋体" w:eastAsia="宋体" w:cs="宋体"/>
                      <w:szCs w:val="21"/>
                    </w:rPr>
                  </w:pPr>
                  <w:r>
                    <w:rPr>
                      <w:rFonts w:hint="eastAsia" w:ascii="宋体" w:hAnsi="宋体" w:eastAsia="宋体" w:cs="宋体"/>
                      <w:szCs w:val="21"/>
                    </w:rPr>
                    <w:t>噪声</w:t>
                  </w:r>
                </w:p>
              </w:tc>
              <w:tc>
                <w:tcPr>
                  <w:tcW w:w="668" w:type="dxa"/>
                  <w:vAlign w:val="center"/>
                </w:tcPr>
                <w:p>
                  <w:pPr>
                    <w:pStyle w:val="47"/>
                    <w:widowControl/>
                    <w:spacing w:after="0"/>
                    <w:rPr>
                      <w:rFonts w:eastAsia="宋体"/>
                      <w:szCs w:val="21"/>
                    </w:rPr>
                  </w:pPr>
                  <w:r>
                    <w:rPr>
                      <w:rFonts w:eastAsia="宋体"/>
                      <w:szCs w:val="21"/>
                    </w:rPr>
                    <w:t>N1</w:t>
                  </w:r>
                </w:p>
              </w:tc>
              <w:tc>
                <w:tcPr>
                  <w:tcW w:w="1988" w:type="dxa"/>
                  <w:vAlign w:val="center"/>
                </w:tcPr>
                <w:p>
                  <w:pPr>
                    <w:pStyle w:val="47"/>
                    <w:widowControl/>
                    <w:spacing w:after="0"/>
                    <w:rPr>
                      <w:rFonts w:eastAsia="宋体"/>
                      <w:szCs w:val="21"/>
                    </w:rPr>
                  </w:pPr>
                  <w:r>
                    <w:rPr>
                      <w:rFonts w:eastAsia="宋体"/>
                      <w:szCs w:val="21"/>
                    </w:rPr>
                    <w:t>厂界东侧</w:t>
                  </w:r>
                </w:p>
              </w:tc>
              <w:tc>
                <w:tcPr>
                  <w:tcW w:w="2064" w:type="dxa"/>
                  <w:vMerge w:val="restart"/>
                  <w:vAlign w:val="center"/>
                </w:tcPr>
                <w:p>
                  <w:pPr>
                    <w:pStyle w:val="47"/>
                    <w:widowControl/>
                    <w:spacing w:after="0"/>
                    <w:rPr>
                      <w:rFonts w:ascii="宋体" w:hAnsi="宋体" w:eastAsia="宋体" w:cs="宋体"/>
                      <w:sz w:val="24"/>
                      <w:szCs w:val="24"/>
                    </w:rPr>
                  </w:pPr>
                  <w:r>
                    <w:rPr>
                      <w:rFonts w:hint="eastAsia" w:ascii="宋体" w:hAnsi="宋体" w:eastAsia="宋体" w:cs="宋体"/>
                      <w:sz w:val="24"/>
                      <w:szCs w:val="24"/>
                    </w:rPr>
                    <w:t>厂界噪声</w:t>
                  </w:r>
                </w:p>
              </w:tc>
              <w:tc>
                <w:tcPr>
                  <w:tcW w:w="2196" w:type="dxa"/>
                  <w:vMerge w:val="restart"/>
                  <w:vAlign w:val="center"/>
                </w:tcPr>
                <w:p>
                  <w:pPr>
                    <w:pStyle w:val="47"/>
                    <w:widowControl/>
                    <w:spacing w:after="0"/>
                    <w:rPr>
                      <w:rFonts w:ascii="宋体" w:hAnsi="宋体" w:eastAsia="宋体" w:cs="宋体"/>
                      <w:sz w:val="24"/>
                      <w:szCs w:val="24"/>
                    </w:rPr>
                  </w:pPr>
                  <w:r>
                    <w:rPr>
                      <w:rFonts w:hint="eastAsia" w:ascii="宋体" w:hAnsi="宋体" w:eastAsia="宋体" w:cs="宋体"/>
                      <w:sz w:val="24"/>
                      <w:szCs w:val="24"/>
                    </w:rPr>
                    <w:t>连续测量2天，每天昼、夜间各测量1次。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N2</w:t>
                  </w:r>
                </w:p>
              </w:tc>
              <w:tc>
                <w:tcPr>
                  <w:tcW w:w="1988" w:type="dxa"/>
                  <w:vAlign w:val="center"/>
                </w:tcPr>
                <w:p>
                  <w:pPr>
                    <w:pStyle w:val="47"/>
                    <w:widowControl/>
                    <w:spacing w:after="0"/>
                    <w:rPr>
                      <w:rFonts w:eastAsia="宋体"/>
                      <w:szCs w:val="21"/>
                    </w:rPr>
                  </w:pPr>
                  <w:r>
                    <w:rPr>
                      <w:rFonts w:eastAsia="宋体"/>
                      <w:szCs w:val="21"/>
                    </w:rPr>
                    <w:t>厂界南侧</w:t>
                  </w:r>
                </w:p>
              </w:tc>
              <w:tc>
                <w:tcPr>
                  <w:tcW w:w="2064" w:type="dxa"/>
                  <w:vMerge w:val="continue"/>
                  <w:vAlign w:val="center"/>
                </w:tcPr>
                <w:p>
                  <w:pPr>
                    <w:pStyle w:val="47"/>
                    <w:widowControl/>
                    <w:spacing w:after="0"/>
                  </w:pPr>
                </w:p>
              </w:tc>
              <w:tc>
                <w:tcPr>
                  <w:tcW w:w="2196" w:type="dxa"/>
                  <w:vMerge w:val="continue"/>
                  <w:vAlign w:val="center"/>
                </w:tcPr>
                <w:p>
                  <w:pPr>
                    <w:pStyle w:val="47"/>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N3</w:t>
                  </w:r>
                </w:p>
              </w:tc>
              <w:tc>
                <w:tcPr>
                  <w:tcW w:w="1988" w:type="dxa"/>
                  <w:vAlign w:val="center"/>
                </w:tcPr>
                <w:p>
                  <w:pPr>
                    <w:pStyle w:val="47"/>
                    <w:widowControl/>
                    <w:spacing w:after="0"/>
                    <w:rPr>
                      <w:rFonts w:eastAsia="宋体"/>
                      <w:szCs w:val="21"/>
                    </w:rPr>
                  </w:pPr>
                  <w:r>
                    <w:rPr>
                      <w:rFonts w:eastAsia="宋体"/>
                      <w:szCs w:val="21"/>
                    </w:rPr>
                    <w:t>厂界西侧</w:t>
                  </w:r>
                </w:p>
              </w:tc>
              <w:tc>
                <w:tcPr>
                  <w:tcW w:w="2064" w:type="dxa"/>
                  <w:vMerge w:val="continue"/>
                  <w:vAlign w:val="center"/>
                </w:tcPr>
                <w:p>
                  <w:pPr>
                    <w:pStyle w:val="47"/>
                    <w:widowControl/>
                    <w:spacing w:after="0"/>
                  </w:pPr>
                </w:p>
              </w:tc>
              <w:tc>
                <w:tcPr>
                  <w:tcW w:w="2196" w:type="dxa"/>
                  <w:vMerge w:val="continue"/>
                  <w:vAlign w:val="center"/>
                </w:tcPr>
                <w:p>
                  <w:pPr>
                    <w:pStyle w:val="47"/>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668" w:type="dxa"/>
                  <w:vAlign w:val="center"/>
                </w:tcPr>
                <w:p>
                  <w:pPr>
                    <w:pStyle w:val="47"/>
                    <w:widowControl/>
                    <w:spacing w:after="0"/>
                    <w:rPr>
                      <w:rFonts w:eastAsia="宋体"/>
                      <w:szCs w:val="21"/>
                    </w:rPr>
                  </w:pPr>
                  <w:r>
                    <w:rPr>
                      <w:rFonts w:eastAsia="宋体"/>
                      <w:szCs w:val="21"/>
                    </w:rPr>
                    <w:t>N4</w:t>
                  </w:r>
                </w:p>
              </w:tc>
              <w:tc>
                <w:tcPr>
                  <w:tcW w:w="1988" w:type="dxa"/>
                  <w:vAlign w:val="center"/>
                </w:tcPr>
                <w:p>
                  <w:pPr>
                    <w:pStyle w:val="47"/>
                    <w:widowControl/>
                    <w:spacing w:after="0"/>
                    <w:rPr>
                      <w:rFonts w:eastAsia="宋体"/>
                      <w:szCs w:val="21"/>
                    </w:rPr>
                  </w:pPr>
                  <w:r>
                    <w:rPr>
                      <w:rFonts w:eastAsia="宋体"/>
                      <w:szCs w:val="21"/>
                    </w:rPr>
                    <w:t>厂界北侧</w:t>
                  </w:r>
                </w:p>
              </w:tc>
              <w:tc>
                <w:tcPr>
                  <w:tcW w:w="2064" w:type="dxa"/>
                  <w:vMerge w:val="continue"/>
                  <w:vAlign w:val="center"/>
                </w:tcPr>
                <w:p>
                  <w:pPr>
                    <w:pStyle w:val="47"/>
                    <w:widowControl/>
                    <w:spacing w:after="0"/>
                  </w:pPr>
                </w:p>
              </w:tc>
              <w:tc>
                <w:tcPr>
                  <w:tcW w:w="2196" w:type="dxa"/>
                  <w:vMerge w:val="continue"/>
                  <w:vAlign w:val="center"/>
                </w:tcPr>
                <w:p>
                  <w:pPr>
                    <w:pStyle w:val="47"/>
                    <w:widowControl/>
                    <w:spacing w:after="0"/>
                  </w:pPr>
                </w:p>
              </w:tc>
            </w:tr>
          </w:tbl>
          <w:p>
            <w:pPr>
              <w:pStyle w:val="20"/>
              <w:spacing w:before="120" w:beforeLines="50" w:after="0" w:line="240" w:lineRule="auto"/>
              <w:ind w:firstLine="0" w:firstLineChars="0"/>
              <w:jc w:val="both"/>
              <w:rPr>
                <w:rFonts w:eastAsia="宋体"/>
                <w:szCs w:val="24"/>
              </w:rPr>
            </w:pPr>
            <w:r>
              <w:rPr>
                <w:rFonts w:hint="eastAsia" w:eastAsia="宋体"/>
                <w:szCs w:val="24"/>
              </w:rPr>
              <w:t>2、分析方法见表6-2</w:t>
            </w:r>
          </w:p>
          <w:p>
            <w:pPr>
              <w:pStyle w:val="20"/>
              <w:spacing w:afterLines="50" w:line="240" w:lineRule="auto"/>
              <w:ind w:firstLine="3600" w:firstLineChars="1500"/>
              <w:jc w:val="both"/>
              <w:rPr>
                <w:rFonts w:eastAsia="宋体"/>
              </w:rPr>
            </w:pPr>
            <w:r>
              <w:rPr>
                <w:rFonts w:hint="eastAsia" w:eastAsia="宋体"/>
                <w:szCs w:val="24"/>
              </w:rPr>
              <w:t>表6-2分析方法</w:t>
            </w:r>
          </w:p>
          <w:tbl>
            <w:tblPr>
              <w:tblStyle w:val="18"/>
              <w:tblW w:w="8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548"/>
              <w:gridCol w:w="4500"/>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w:t>
                  </w:r>
                </w:p>
                <w:p>
                  <w:pPr>
                    <w:spacing w:after="0"/>
                    <w:jc w:val="center"/>
                    <w:rPr>
                      <w:rFonts w:ascii="宋体" w:hAnsi="宋体" w:eastAsia="宋体" w:cs="宋体"/>
                      <w:sz w:val="21"/>
                      <w:szCs w:val="21"/>
                    </w:rPr>
                  </w:pPr>
                  <w:r>
                    <w:rPr>
                      <w:rFonts w:hint="eastAsia" w:ascii="宋体" w:hAnsi="宋体" w:eastAsia="宋体" w:cs="宋体"/>
                      <w:sz w:val="21"/>
                      <w:szCs w:val="21"/>
                    </w:rPr>
                    <w:t>类别</w:t>
                  </w:r>
                </w:p>
              </w:tc>
              <w:tc>
                <w:tcPr>
                  <w:tcW w:w="154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监测项目</w:t>
                  </w:r>
                </w:p>
              </w:tc>
              <w:tc>
                <w:tcPr>
                  <w:tcW w:w="450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分析方法</w:t>
                  </w:r>
                </w:p>
              </w:tc>
              <w:tc>
                <w:tcPr>
                  <w:tcW w:w="1751"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jc w:val="center"/>
              </w:trPr>
              <w:tc>
                <w:tcPr>
                  <w:tcW w:w="1060"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无组织</w:t>
                  </w:r>
                </w:p>
                <w:p>
                  <w:pPr>
                    <w:spacing w:after="0"/>
                    <w:jc w:val="center"/>
                    <w:rPr>
                      <w:rFonts w:ascii="宋体" w:hAnsi="宋体" w:eastAsia="宋体" w:cs="宋体"/>
                      <w:sz w:val="21"/>
                      <w:szCs w:val="21"/>
                    </w:rPr>
                  </w:pPr>
                  <w:r>
                    <w:rPr>
                      <w:rFonts w:hint="eastAsia" w:ascii="宋体" w:hAnsi="宋体" w:eastAsia="宋体" w:cs="宋体"/>
                      <w:sz w:val="21"/>
                      <w:szCs w:val="21"/>
                    </w:rPr>
                    <w:t>废气</w:t>
                  </w:r>
                </w:p>
              </w:tc>
              <w:tc>
                <w:tcPr>
                  <w:tcW w:w="1548" w:type="dxa"/>
                  <w:vAlign w:val="center"/>
                </w:tcPr>
                <w:p>
                  <w:pPr>
                    <w:adjustRightInd/>
                    <w:spacing w:after="0"/>
                    <w:jc w:val="center"/>
                    <w:rPr>
                      <w:rFonts w:ascii="宋体" w:hAnsi="宋体" w:eastAsia="宋体" w:cs="宋体"/>
                      <w:sz w:val="21"/>
                      <w:szCs w:val="21"/>
                    </w:rPr>
                  </w:pPr>
                  <w:r>
                    <w:rPr>
                      <w:rFonts w:hint="eastAsia" w:ascii="宋体" w:hAnsi="宋体" w:eastAsia="宋体" w:cs="宋体"/>
                      <w:sz w:val="21"/>
                      <w:szCs w:val="21"/>
                    </w:rPr>
                    <w:t>总悬浮颗粒物</w:t>
                  </w:r>
                </w:p>
              </w:tc>
              <w:tc>
                <w:tcPr>
                  <w:tcW w:w="4500" w:type="dxa"/>
                  <w:vAlign w:val="center"/>
                </w:tcPr>
                <w:p>
                  <w:pPr>
                    <w:widowControl w:val="0"/>
                    <w:adjustRightInd/>
                    <w:snapToGrid/>
                    <w:spacing w:after="0"/>
                    <w:jc w:val="center"/>
                    <w:rPr>
                      <w:rFonts w:ascii="Times New Roman" w:hAnsi="Times New Roman" w:eastAsia="宋体"/>
                      <w:color w:val="FF0000"/>
                      <w:sz w:val="21"/>
                      <w:szCs w:val="21"/>
                    </w:rPr>
                  </w:pPr>
                  <w:r>
                    <w:rPr>
                      <w:rFonts w:hint="eastAsia" w:ascii="宋体" w:hAnsi="宋体" w:eastAsia="宋体" w:cs="宋体"/>
                      <w:sz w:val="21"/>
                      <w:szCs w:val="21"/>
                    </w:rPr>
                    <w:t>环境空气</w:t>
                  </w:r>
                  <w:r>
                    <w:rPr>
                      <w:rFonts w:hint="eastAsia" w:ascii="宋体" w:hAnsi="宋体" w:cs="宋体"/>
                      <w:sz w:val="21"/>
                      <w:szCs w:val="21"/>
                    </w:rPr>
                    <w:t xml:space="preserve"> </w:t>
                  </w:r>
                  <w:r>
                    <w:rPr>
                      <w:rFonts w:hint="eastAsia" w:ascii="宋体" w:hAnsi="宋体" w:eastAsia="宋体" w:cs="宋体"/>
                      <w:sz w:val="21"/>
                      <w:szCs w:val="21"/>
                    </w:rPr>
                    <w:t>总悬浮颗粒物的测定</w:t>
                  </w:r>
                  <w:r>
                    <w:rPr>
                      <w:rFonts w:hint="eastAsia" w:ascii="宋体" w:hAnsi="宋体" w:cs="宋体"/>
                      <w:sz w:val="21"/>
                      <w:szCs w:val="21"/>
                    </w:rPr>
                    <w:t xml:space="preserve"> </w:t>
                  </w:r>
                  <w:r>
                    <w:rPr>
                      <w:rFonts w:hint="eastAsia" w:ascii="宋体" w:hAnsi="宋体" w:eastAsia="宋体" w:cs="宋体"/>
                      <w:sz w:val="21"/>
                      <w:szCs w:val="21"/>
                    </w:rPr>
                    <w:t>重量法</w:t>
                  </w:r>
                  <w:r>
                    <w:rPr>
                      <w:rFonts w:ascii="Times New Roman" w:hAnsi="Times New Roman" w:eastAsia="宋体"/>
                      <w:sz w:val="21"/>
                      <w:szCs w:val="21"/>
                    </w:rPr>
                    <w:t>GB/T15432-1995</w:t>
                  </w:r>
                </w:p>
              </w:tc>
              <w:tc>
                <w:tcPr>
                  <w:tcW w:w="1751" w:type="dxa"/>
                  <w:vAlign w:val="center"/>
                </w:tcPr>
                <w:p>
                  <w:pPr>
                    <w:widowControl w:val="0"/>
                    <w:adjustRightInd/>
                    <w:snapToGrid/>
                    <w:spacing w:after="0"/>
                    <w:jc w:val="center"/>
                    <w:rPr>
                      <w:rFonts w:ascii="Times New Roman" w:hAnsi="Times New Roman" w:eastAsia="宋体"/>
                      <w:color w:val="FF0000"/>
                      <w:sz w:val="21"/>
                      <w:szCs w:val="21"/>
                    </w:rPr>
                  </w:pPr>
                  <w:r>
                    <w:rPr>
                      <w:rFonts w:ascii="Times New Roman" w:hAnsi="Times New Roman" w:eastAsia="宋体"/>
                      <w:sz w:val="21"/>
                      <w:szCs w:val="21"/>
                    </w:rPr>
                    <w:t>0.001mg/m³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jc w:val="center"/>
              </w:trPr>
              <w:tc>
                <w:tcPr>
                  <w:tcW w:w="1060" w:type="dxa"/>
                  <w:vMerge w:val="continue"/>
                  <w:vAlign w:val="center"/>
                </w:tcPr>
                <w:p>
                  <w:pPr>
                    <w:spacing w:after="0"/>
                    <w:jc w:val="center"/>
                    <w:rPr>
                      <w:rFonts w:ascii="宋体" w:hAnsi="宋体" w:eastAsia="宋体" w:cs="宋体"/>
                      <w:sz w:val="21"/>
                      <w:szCs w:val="21"/>
                    </w:rPr>
                  </w:pPr>
                </w:p>
              </w:tc>
              <w:tc>
                <w:tcPr>
                  <w:tcW w:w="1548" w:type="dxa"/>
                  <w:vAlign w:val="center"/>
                </w:tcPr>
                <w:p>
                  <w:pPr>
                    <w:widowControl w:val="0"/>
                    <w:spacing w:after="0"/>
                    <w:jc w:val="center"/>
                    <w:rPr>
                      <w:rFonts w:ascii="宋体" w:hAnsi="宋体" w:eastAsia="宋体" w:cs="宋体"/>
                      <w:sz w:val="21"/>
                      <w:szCs w:val="21"/>
                    </w:rPr>
                  </w:pPr>
                  <w:r>
                    <w:rPr>
                      <w:rFonts w:hint="eastAsia" w:ascii="宋体" w:hAnsi="宋体" w:eastAsia="宋体" w:cs="宋体"/>
                      <w:sz w:val="21"/>
                      <w:szCs w:val="21"/>
                    </w:rPr>
                    <w:t>非甲烷总烃</w:t>
                  </w:r>
                </w:p>
              </w:tc>
              <w:tc>
                <w:tcPr>
                  <w:tcW w:w="4500" w:type="dxa"/>
                  <w:vAlign w:val="center"/>
                </w:tcPr>
                <w:p>
                  <w:pPr>
                    <w:widowControl w:val="0"/>
                    <w:spacing w:after="0"/>
                    <w:jc w:val="center"/>
                    <w:rPr>
                      <w:rFonts w:ascii="宋体" w:hAnsi="宋体" w:eastAsia="宋体" w:cs="宋体"/>
                      <w:sz w:val="21"/>
                      <w:szCs w:val="21"/>
                    </w:rPr>
                  </w:pPr>
                  <w:r>
                    <w:rPr>
                      <w:rFonts w:hint="eastAsia" w:eastAsiaTheme="minorEastAsia"/>
                      <w:sz w:val="21"/>
                      <w:szCs w:val="21"/>
                    </w:rPr>
                    <w:t>非甲烷总烃的测定气相色谱法</w:t>
                  </w:r>
                  <w:r>
                    <w:rPr>
                      <w:rFonts w:ascii="Times New Roman" w:hAnsi="Times New Roman" w:eastAsiaTheme="minorEastAsia"/>
                      <w:sz w:val="21"/>
                      <w:szCs w:val="21"/>
                    </w:rPr>
                    <w:t>HJ/T38-2017</w:t>
                  </w:r>
                </w:p>
              </w:tc>
              <w:tc>
                <w:tcPr>
                  <w:tcW w:w="1751"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0.0</w:t>
                  </w:r>
                  <w:r>
                    <w:rPr>
                      <w:rFonts w:hint="eastAsia"/>
                      <w:sz w:val="21"/>
                      <w:szCs w:val="21"/>
                    </w:rPr>
                    <w:t>7</w:t>
                  </w:r>
                  <w:r>
                    <w:rPr>
                      <w:rFonts w:ascii="Times New Roman" w:hAnsi="Times New Roman" w:eastAsia="宋体"/>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exac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噪声</w:t>
                  </w:r>
                </w:p>
              </w:tc>
              <w:tc>
                <w:tcPr>
                  <w:tcW w:w="154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厂界噪声</w:t>
                  </w:r>
                </w:p>
              </w:tc>
              <w:tc>
                <w:tcPr>
                  <w:tcW w:w="4500" w:type="dxa"/>
                  <w:vAlign w:val="center"/>
                </w:tcPr>
                <w:p>
                  <w:pPr>
                    <w:spacing w:after="0"/>
                    <w:jc w:val="distribute"/>
                    <w:rPr>
                      <w:rFonts w:ascii="宋体" w:hAnsi="宋体" w:eastAsia="宋体" w:cs="宋体"/>
                      <w:sz w:val="21"/>
                      <w:szCs w:val="21"/>
                    </w:rPr>
                  </w:pPr>
                  <w:r>
                    <w:rPr>
                      <w:rFonts w:hint="eastAsia" w:ascii="宋体" w:hAnsi="宋体" w:eastAsia="宋体" w:cs="宋体"/>
                      <w:spacing w:val="-20"/>
                      <w:sz w:val="21"/>
                      <w:szCs w:val="21"/>
                    </w:rPr>
                    <w:t>《工业企业厂界环境噪声排放标准》</w:t>
                  </w:r>
                  <w:r>
                    <w:rPr>
                      <w:rFonts w:ascii="Times New Roman" w:hAnsi="Times New Roman" w:eastAsia="宋体"/>
                      <w:spacing w:val="-20"/>
                      <w:sz w:val="21"/>
                      <w:szCs w:val="21"/>
                    </w:rPr>
                    <w:t>(GB12348-2008)</w:t>
                  </w:r>
                </w:p>
              </w:tc>
              <w:tc>
                <w:tcPr>
                  <w:tcW w:w="1751" w:type="dxa"/>
                  <w:vAlign w:val="center"/>
                </w:tcPr>
                <w:p>
                  <w:pPr>
                    <w:jc w:val="center"/>
                    <w:rPr>
                      <w:rFonts w:ascii="宋体" w:hAnsi="宋体" w:eastAsia="宋体" w:cs="宋体"/>
                      <w:sz w:val="21"/>
                      <w:szCs w:val="21"/>
                    </w:rPr>
                  </w:pPr>
                  <w:r>
                    <w:rPr>
                      <w:rFonts w:ascii="Times New Roman" w:hAnsi="Times New Roman"/>
                      <w:sz w:val="21"/>
                      <w:szCs w:val="21"/>
                    </w:rPr>
                    <w:t>——</w:t>
                  </w:r>
                </w:p>
              </w:tc>
            </w:tr>
          </w:tbl>
          <w:p>
            <w:pPr>
              <w:pStyle w:val="6"/>
              <w:ind w:firstLine="220"/>
            </w:pPr>
          </w:p>
        </w:tc>
      </w:tr>
    </w:tbl>
    <w:p>
      <w:pPr>
        <w:spacing w:line="360" w:lineRule="auto"/>
        <w:rPr>
          <w:rFonts w:eastAsia="仿宋_GB2312"/>
          <w:color w:val="000000"/>
          <w:sz w:val="21"/>
          <w:szCs w:val="21"/>
        </w:rPr>
      </w:pPr>
    </w:p>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0"/>
          <w:szCs w:val="30"/>
        </w:rPr>
      </w:pPr>
      <w:bookmarkStart w:id="13" w:name="_Toc17533_WPSOffice_Level1"/>
      <w:r>
        <w:rPr>
          <w:rFonts w:hint="eastAsia" w:ascii="宋体" w:hAnsi="宋体" w:eastAsia="宋体" w:cs="宋体"/>
          <w:b/>
          <w:color w:val="000000"/>
          <w:sz w:val="30"/>
          <w:szCs w:val="30"/>
        </w:rPr>
        <w:t>表七  验收监测结果</w:t>
      </w:r>
      <w:bookmarkEnd w:id="13"/>
    </w:p>
    <w:tbl>
      <w:tblPr>
        <w:tblStyle w:val="18"/>
        <w:tblW w:w="10549" w:type="dxa"/>
        <w:jc w:val="center"/>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0" w:hRule="atLeast"/>
          <w:jc w:val="center"/>
        </w:trPr>
        <w:tc>
          <w:tcPr>
            <w:tcW w:w="10549" w:type="dxa"/>
          </w:tcPr>
          <w:p>
            <w:pPr>
              <w:spacing w:before="120" w:beforeLines="50" w:after="0" w:line="360" w:lineRule="auto"/>
              <w:rPr>
                <w:rFonts w:ascii="宋体" w:hAnsi="宋体" w:eastAsia="宋体" w:cs="宋体"/>
                <w:color w:val="000000"/>
                <w:sz w:val="24"/>
                <w:szCs w:val="24"/>
              </w:rPr>
            </w:pPr>
            <w:r>
              <w:rPr>
                <w:rFonts w:hint="eastAsia" w:ascii="宋体" w:hAnsi="宋体" w:eastAsia="宋体" w:cs="宋体"/>
                <w:color w:val="000000"/>
                <w:sz w:val="24"/>
                <w:szCs w:val="24"/>
              </w:rPr>
              <w:t>1、验收监测期间生产工况记录：</w:t>
            </w:r>
          </w:p>
          <w:p>
            <w:pPr>
              <w:spacing w:after="0" w:line="360" w:lineRule="auto"/>
              <w:ind w:firstLine="480" w:firstLineChars="200"/>
              <w:rPr>
                <w:rFonts w:eastAsia="仿宋_GB2312"/>
                <w:color w:val="000000"/>
                <w:sz w:val="21"/>
                <w:szCs w:val="21"/>
              </w:rPr>
            </w:pPr>
            <w:r>
              <w:rPr>
                <w:rFonts w:hint="eastAsia" w:ascii="宋体" w:hAnsi="宋体" w:eastAsia="宋体" w:cs="宋体"/>
                <w:sz w:val="24"/>
                <w:szCs w:val="24"/>
              </w:rPr>
              <w:t>贵州苗通生物医药开发有限公司兴义市苗通外用膏贴生产线建设项目，在验收</w:t>
            </w:r>
            <w:r>
              <w:rPr>
                <w:rStyle w:val="17"/>
                <w:rFonts w:hint="eastAsia" w:ascii="宋体" w:hAnsi="宋体" w:eastAsia="宋体" w:cs="宋体"/>
                <w:sz w:val="24"/>
                <w:szCs w:val="24"/>
              </w:rPr>
              <w:t>监测</w:t>
            </w:r>
            <w:r>
              <w:rPr>
                <w:rFonts w:hint="eastAsia" w:ascii="宋体" w:hAnsi="宋体" w:eastAsia="宋体" w:cs="宋体"/>
                <w:sz w:val="24"/>
                <w:szCs w:val="24"/>
              </w:rPr>
              <w:t>期间项目设备和环保设施运行正常，日产外贴膏约20</w:t>
            </w:r>
            <w:r>
              <w:rPr>
                <w:rFonts w:hint="eastAsia" w:ascii="宋体" w:hAnsi="宋体" w:eastAsia="宋体" w:cs="宋体"/>
                <w:sz w:val="24"/>
                <w:szCs w:val="24"/>
                <w:lang w:eastAsia="zh-CN"/>
              </w:rPr>
              <w:t>箱</w:t>
            </w:r>
            <w:r>
              <w:rPr>
                <w:rFonts w:hint="eastAsia" w:ascii="宋体" w:hAnsi="宋体" w:eastAsia="宋体" w:cs="宋体"/>
                <w:sz w:val="24"/>
                <w:szCs w:val="24"/>
              </w:rPr>
              <w:t>，生产负荷为77%。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6" w:hRule="atLeast"/>
          <w:jc w:val="center"/>
        </w:trPr>
        <w:tc>
          <w:tcPr>
            <w:tcW w:w="10549" w:type="dxa"/>
          </w:tcPr>
          <w:p>
            <w:pPr>
              <w:spacing w:before="120" w:beforeLines="50" w:after="0" w:line="360" w:lineRule="auto"/>
              <w:rPr>
                <w:rFonts w:ascii="宋体" w:hAnsi="宋体" w:eastAsia="宋体" w:cs="宋体"/>
                <w:sz w:val="24"/>
                <w:szCs w:val="24"/>
              </w:rPr>
            </w:pPr>
            <w:r>
              <w:rPr>
                <w:rFonts w:hint="eastAsia" w:ascii="宋体" w:hAnsi="宋体" w:eastAsia="宋体" w:cs="宋体"/>
                <w:sz w:val="24"/>
                <w:szCs w:val="24"/>
              </w:rPr>
              <w:t>2、验收监测结果：</w:t>
            </w:r>
          </w:p>
          <w:p>
            <w:pPr>
              <w:pStyle w:val="46"/>
              <w:spacing w:after="0" w:line="360" w:lineRule="auto"/>
              <w:ind w:firstLine="480"/>
              <w:rPr>
                <w:rFonts w:ascii="宋体" w:hAnsi="宋体" w:eastAsia="宋体" w:cs="宋体"/>
                <w:sz w:val="24"/>
                <w:szCs w:val="24"/>
              </w:rPr>
            </w:pPr>
            <w:r>
              <w:rPr>
                <w:rFonts w:hint="eastAsia" w:ascii="宋体" w:hAnsi="宋体" w:eastAsia="宋体" w:cs="宋体"/>
                <w:sz w:val="24"/>
                <w:szCs w:val="24"/>
              </w:rPr>
              <w:t>2019年2月15-16日对项目无组织废气、噪声进行监测，监测结果如下：</w:t>
            </w:r>
          </w:p>
          <w:p>
            <w:pPr>
              <w:pStyle w:val="46"/>
              <w:numPr>
                <w:ilvl w:val="0"/>
                <w:numId w:val="5"/>
              </w:numPr>
              <w:spacing w:after="0" w:line="360" w:lineRule="auto"/>
              <w:ind w:firstLine="480"/>
              <w:rPr>
                <w:rFonts w:ascii="宋体" w:hAnsi="宋体" w:eastAsia="宋体" w:cs="宋体"/>
                <w:sz w:val="24"/>
                <w:szCs w:val="24"/>
              </w:rPr>
            </w:pPr>
            <w:r>
              <w:rPr>
                <w:rFonts w:hint="eastAsia" w:ascii="宋体" w:hAnsi="宋体" w:eastAsia="宋体" w:cs="宋体"/>
                <w:sz w:val="24"/>
                <w:szCs w:val="24"/>
              </w:rPr>
              <w:t>无组织废气（总悬浮颗粒物）监测结果见表7-1。</w:t>
            </w:r>
          </w:p>
          <w:p>
            <w:pPr>
              <w:pStyle w:val="46"/>
              <w:numPr>
                <w:ilvl w:val="0"/>
                <w:numId w:val="5"/>
              </w:numPr>
              <w:spacing w:after="0" w:line="360" w:lineRule="auto"/>
              <w:ind w:firstLine="480"/>
              <w:rPr>
                <w:rFonts w:ascii="宋体" w:hAnsi="宋体" w:eastAsia="宋体" w:cs="宋体"/>
                <w:sz w:val="24"/>
                <w:szCs w:val="24"/>
              </w:rPr>
            </w:pPr>
            <w:r>
              <w:rPr>
                <w:rFonts w:hint="eastAsia" w:ascii="宋体" w:hAnsi="宋体" w:eastAsia="宋体" w:cs="宋体"/>
                <w:sz w:val="24"/>
                <w:szCs w:val="24"/>
              </w:rPr>
              <w:t>无组织废气（非甲烷总烃）监测结果见表7-2。</w:t>
            </w:r>
          </w:p>
          <w:p>
            <w:pPr>
              <w:pStyle w:val="46"/>
              <w:numPr>
                <w:ilvl w:val="0"/>
                <w:numId w:val="5"/>
              </w:numPr>
              <w:spacing w:after="0" w:line="360" w:lineRule="auto"/>
              <w:ind w:firstLine="480"/>
              <w:rPr>
                <w:rFonts w:ascii="宋体" w:hAnsi="宋体" w:eastAsia="宋体" w:cs="宋体"/>
                <w:sz w:val="24"/>
                <w:szCs w:val="24"/>
              </w:rPr>
            </w:pPr>
            <w:r>
              <w:rPr>
                <w:rFonts w:hint="eastAsia" w:ascii="宋体" w:hAnsi="宋体" w:eastAsia="宋体" w:cs="宋体"/>
                <w:sz w:val="24"/>
                <w:szCs w:val="24"/>
              </w:rPr>
              <w:t>厂界噪声测量结果见表7-3。</w:t>
            </w:r>
          </w:p>
          <w:p>
            <w:pPr>
              <w:pStyle w:val="46"/>
              <w:spacing w:before="120" w:beforeLines="50" w:after="0" w:line="240" w:lineRule="atLeast"/>
              <w:ind w:firstLine="0" w:firstLineChars="0"/>
              <w:jc w:val="center"/>
              <w:rPr>
                <w:rFonts w:eastAsia="宋体"/>
                <w:sz w:val="18"/>
                <w:szCs w:val="18"/>
              </w:rPr>
            </w:pPr>
            <w:r>
              <w:rPr>
                <w:rFonts w:hint="eastAsia" w:ascii="宋体" w:hAnsi="宋体" w:eastAsia="宋体" w:cs="宋体"/>
                <w:b/>
                <w:bCs/>
                <w:sz w:val="24"/>
                <w:szCs w:val="24"/>
              </w:rPr>
              <w:t xml:space="preserve">                       表7-1 无组织排放废气监测结果  </w:t>
            </w:r>
            <w:r>
              <w:rPr>
                <w:rFonts w:eastAsia="宋体"/>
                <w:b/>
                <w:bCs/>
              </w:rPr>
              <w:t xml:space="preserve">  </w:t>
            </w:r>
            <w:r>
              <w:rPr>
                <w:rFonts w:eastAsia="宋体"/>
              </w:rPr>
              <w:t xml:space="preserve">  </w:t>
            </w:r>
            <w:r>
              <w:rPr>
                <w:rFonts w:hint="eastAsia" w:eastAsia="宋体"/>
              </w:rPr>
              <w:t xml:space="preserve">              </w:t>
            </w:r>
            <w:r>
              <w:rPr>
                <w:rFonts w:hint="eastAsia" w:eastAsia="宋体"/>
                <w:sz w:val="18"/>
                <w:szCs w:val="18"/>
              </w:rPr>
              <w:t xml:space="preserve">   </w:t>
            </w:r>
            <w:r>
              <w:rPr>
                <w:rFonts w:eastAsia="宋体"/>
                <w:b/>
                <w:bCs/>
                <w:sz w:val="18"/>
                <w:szCs w:val="18"/>
              </w:rPr>
              <w:t>单位mg/m³</w:t>
            </w:r>
          </w:p>
          <w:tbl>
            <w:tblPr>
              <w:tblStyle w:val="19"/>
              <w:tblpPr w:leftFromText="180" w:rightFromText="180" w:vertAnchor="text" w:horzAnchor="page" w:tblpX="711" w:tblpY="164"/>
              <w:tblOverlap w:val="never"/>
              <w:tblW w:w="9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755"/>
              <w:gridCol w:w="1515"/>
              <w:gridCol w:w="1425"/>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exact"/>
              </w:trPr>
              <w:tc>
                <w:tcPr>
                  <w:tcW w:w="1658"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采样点位</w:t>
                  </w:r>
                </w:p>
              </w:tc>
              <w:tc>
                <w:tcPr>
                  <w:tcW w:w="4695"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总悬浮颗粒物</w:t>
                  </w:r>
                </w:p>
              </w:tc>
              <w:tc>
                <w:tcPr>
                  <w:tcW w:w="319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宋体" w:hAnsi="宋体" w:eastAsia="宋体" w:cs="宋体"/>
                      <w:bCs/>
                      <w:sz w:val="21"/>
                      <w:szCs w:val="21"/>
                    </w:rPr>
                    <w:t>《大气污染物综合排放标准》</w:t>
                  </w:r>
                  <w:r>
                    <w:rPr>
                      <w:rFonts w:ascii="Times New Roman" w:hAnsi="Times New Roman" w:eastAsia="宋体"/>
                      <w:bCs/>
                      <w:sz w:val="21"/>
                      <w:szCs w:val="21"/>
                    </w:rPr>
                    <w:t>（GB16297-1996）表2</w:t>
                  </w:r>
                  <w:r>
                    <w:rPr>
                      <w:rFonts w:hint="eastAsia" w:ascii="宋体" w:hAnsi="宋体" w:eastAsia="宋体" w:cs="宋体"/>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658"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270" w:type="dxa"/>
                  <w:gridSpan w:val="2"/>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监测日期</w:t>
                  </w:r>
                </w:p>
              </w:tc>
              <w:tc>
                <w:tcPr>
                  <w:tcW w:w="142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最高浓度</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exact"/>
              </w:trPr>
              <w:tc>
                <w:tcPr>
                  <w:tcW w:w="1658"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1755"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15</w:t>
                  </w:r>
                  <w:r>
                    <w:rPr>
                      <w:rFonts w:ascii="Times New Roman" w:hAnsi="Times New Roman" w:eastAsia="宋体"/>
                      <w:sz w:val="21"/>
                      <w:szCs w:val="21"/>
                    </w:rPr>
                    <w:t>日</w:t>
                  </w:r>
                </w:p>
              </w:tc>
              <w:tc>
                <w:tcPr>
                  <w:tcW w:w="1515"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16</w:t>
                  </w:r>
                  <w:r>
                    <w:rPr>
                      <w:rFonts w:ascii="Times New Roman" w:hAnsi="Times New Roman" w:eastAsia="宋体"/>
                      <w:sz w:val="21"/>
                      <w:szCs w:val="21"/>
                    </w:rPr>
                    <w:t>日</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厂界南侧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 xml:space="preserve">1 </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0.020</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0.060</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0.061</w:t>
                  </w:r>
                </w:p>
              </w:tc>
              <w:tc>
                <w:tcPr>
                  <w:tcW w:w="319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0.020</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0.060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0.061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厂界西侧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2</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0.082</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0.080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0.082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0.020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continue"/>
                  <w:vAlign w:val="center"/>
                </w:tcPr>
                <w:p>
                  <w:pPr>
                    <w:widowControl w:val="0"/>
                    <w:tabs>
                      <w:tab w:val="left" w:pos="2520"/>
                      <w:tab w:val="left" w:pos="2880"/>
                      <w:tab w:val="left" w:pos="3060"/>
                    </w:tabs>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厂界北侧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3</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0.102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0.160</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0.125</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0.102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0.020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0.083</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0.060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0.125</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0.080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厂界东侧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bCs/>
                      <w:color w:val="000000" w:themeColor="text1"/>
                      <w:sz w:val="21"/>
                      <w:szCs w:val="21"/>
                      <w14:textFill>
                        <w14:solidFill>
                          <w14:schemeClr w14:val="tx1"/>
                        </w14:solidFill>
                      </w14:textFill>
                    </w:rPr>
                    <w:t>4</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0.082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sz w:val="21"/>
                      <w:szCs w:val="21"/>
                    </w:rPr>
                  </w:pPr>
                  <w:r>
                    <w:rPr>
                      <w:rFonts w:ascii="Times New Roman" w:hAnsi="Times New Roman"/>
                      <w:sz w:val="21"/>
                      <w:szCs w:val="21"/>
                    </w:rPr>
                    <w:t>0.060</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0.102</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0.061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0.040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0.102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0.100</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exact"/>
              </w:trPr>
              <w:tc>
                <w:tcPr>
                  <w:tcW w:w="4928"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达标情况</w:t>
                  </w:r>
                </w:p>
              </w:tc>
              <w:tc>
                <w:tcPr>
                  <w:tcW w:w="142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w:t>
                  </w:r>
                </w:p>
              </w:tc>
              <w:tc>
                <w:tcPr>
                  <w:tcW w:w="3195" w:type="dxa"/>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w:t>
                  </w:r>
                </w:p>
              </w:tc>
            </w:tr>
          </w:tbl>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0" w:firstLineChars="0"/>
              <w:rPr>
                <w:rFonts w:ascii="宋体" w:hAnsi="宋体" w:eastAsia="宋体" w:cs="宋体"/>
                <w:sz w:val="24"/>
                <w:szCs w:val="24"/>
              </w:rPr>
            </w:pPr>
          </w:p>
          <w:p>
            <w:pPr>
              <w:pStyle w:val="46"/>
              <w:spacing w:after="0" w:line="360" w:lineRule="auto"/>
              <w:ind w:firstLine="240" w:firstLineChars="100"/>
              <w:rPr>
                <w:rFonts w:eastAsia="宋体"/>
                <w:sz w:val="24"/>
                <w:szCs w:val="24"/>
              </w:rPr>
            </w:pPr>
          </w:p>
          <w:p>
            <w:pPr>
              <w:pStyle w:val="46"/>
              <w:spacing w:after="0" w:line="360" w:lineRule="auto"/>
              <w:ind w:firstLine="480"/>
              <w:rPr>
                <w:rFonts w:ascii="宋体" w:hAnsi="宋体" w:eastAsia="宋体" w:cs="宋体"/>
                <w:sz w:val="24"/>
                <w:szCs w:val="24"/>
              </w:rPr>
            </w:pPr>
            <w:r>
              <w:rPr>
                <w:rFonts w:hint="eastAsia" w:eastAsia="宋体"/>
                <w:sz w:val="24"/>
                <w:szCs w:val="24"/>
              </w:rPr>
              <w:t>表</w:t>
            </w:r>
            <w:r>
              <w:rPr>
                <w:rFonts w:eastAsia="宋体"/>
                <w:sz w:val="24"/>
                <w:szCs w:val="24"/>
              </w:rPr>
              <w:t>7-</w:t>
            </w:r>
            <w:r>
              <w:rPr>
                <w:rFonts w:hint="eastAsia" w:eastAsia="宋体"/>
                <w:sz w:val="24"/>
                <w:szCs w:val="24"/>
              </w:rPr>
              <w:t>1</w:t>
            </w:r>
            <w:r>
              <w:rPr>
                <w:rFonts w:hint="eastAsia" w:ascii="宋体" w:hAnsi="宋体" w:eastAsia="宋体" w:cs="宋体"/>
                <w:sz w:val="24"/>
                <w:szCs w:val="24"/>
              </w:rPr>
              <w:t>监测结果显示，无组织废气</w:t>
            </w:r>
            <w:r>
              <w:rPr>
                <w:rFonts w:hint="eastAsia" w:eastAsia="宋体"/>
                <w:sz w:val="24"/>
                <w:szCs w:val="24"/>
              </w:rPr>
              <w:t>总悬浮颗粒物</w:t>
            </w:r>
            <w:r>
              <w:rPr>
                <w:rFonts w:hint="eastAsia" w:ascii="宋体" w:hAnsi="宋体" w:eastAsia="宋体" w:cs="宋体"/>
                <w:sz w:val="24"/>
                <w:szCs w:val="24"/>
              </w:rPr>
              <w:t>满足《大气污染物综合排放标准》</w:t>
            </w:r>
            <w:r>
              <w:rPr>
                <w:rFonts w:eastAsia="宋体"/>
                <w:sz w:val="24"/>
                <w:szCs w:val="24"/>
              </w:rPr>
              <w:t>（GB16297-1996）表2</w:t>
            </w:r>
            <w:r>
              <w:rPr>
                <w:rFonts w:hint="eastAsia" w:ascii="宋体" w:hAnsi="宋体" w:eastAsia="宋体" w:cs="宋体"/>
                <w:sz w:val="24"/>
                <w:szCs w:val="24"/>
              </w:rPr>
              <w:t>标准限值要求。</w:t>
            </w:r>
          </w:p>
          <w:p>
            <w:pPr>
              <w:pStyle w:val="46"/>
              <w:spacing w:before="120" w:beforeLines="50" w:after="0" w:line="240" w:lineRule="auto"/>
              <w:ind w:firstLine="482"/>
              <w:jc w:val="center"/>
              <w:rPr>
                <w:rFonts w:eastAsia="宋体"/>
                <w:sz w:val="18"/>
                <w:szCs w:val="18"/>
              </w:rPr>
            </w:pPr>
            <w:r>
              <w:rPr>
                <w:rFonts w:hint="eastAsia" w:ascii="宋体" w:hAnsi="宋体" w:eastAsia="宋体" w:cs="宋体"/>
                <w:b/>
                <w:bCs/>
                <w:sz w:val="24"/>
                <w:szCs w:val="24"/>
              </w:rPr>
              <w:t xml:space="preserve">                    表7-2 无组织排放废气监测结果  </w:t>
            </w:r>
            <w:r>
              <w:rPr>
                <w:rFonts w:eastAsia="宋体"/>
                <w:b/>
                <w:bCs/>
              </w:rPr>
              <w:t xml:space="preserve">  </w:t>
            </w:r>
            <w:r>
              <w:rPr>
                <w:rFonts w:eastAsia="宋体"/>
              </w:rPr>
              <w:t xml:space="preserve">  </w:t>
            </w:r>
            <w:r>
              <w:rPr>
                <w:rFonts w:hint="eastAsia" w:eastAsia="宋体"/>
              </w:rPr>
              <w:t xml:space="preserve">                      </w:t>
            </w:r>
            <w:r>
              <w:rPr>
                <w:rFonts w:hint="eastAsia" w:eastAsia="宋体"/>
                <w:sz w:val="18"/>
                <w:szCs w:val="18"/>
              </w:rPr>
              <w:t xml:space="preserve">  </w:t>
            </w:r>
            <w:r>
              <w:rPr>
                <w:rFonts w:eastAsia="宋体"/>
                <w:b/>
                <w:bCs/>
                <w:sz w:val="18"/>
                <w:szCs w:val="18"/>
              </w:rPr>
              <w:t>单位mg/m³</w:t>
            </w:r>
          </w:p>
          <w:tbl>
            <w:tblPr>
              <w:tblStyle w:val="19"/>
              <w:tblpPr w:leftFromText="180" w:rightFromText="180" w:vertAnchor="text" w:horzAnchor="page" w:tblpX="711" w:tblpY="164"/>
              <w:tblOverlap w:val="never"/>
              <w:tblW w:w="9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755"/>
              <w:gridCol w:w="1515"/>
              <w:gridCol w:w="1425"/>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exact"/>
              </w:trPr>
              <w:tc>
                <w:tcPr>
                  <w:tcW w:w="1658"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采样点位</w:t>
                  </w:r>
                </w:p>
              </w:tc>
              <w:tc>
                <w:tcPr>
                  <w:tcW w:w="4695"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非甲烷总烃</w:t>
                  </w:r>
                </w:p>
              </w:tc>
              <w:tc>
                <w:tcPr>
                  <w:tcW w:w="319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宋体" w:hAnsi="宋体" w:eastAsia="宋体" w:cs="宋体"/>
                      <w:bCs/>
                      <w:sz w:val="21"/>
                      <w:szCs w:val="21"/>
                    </w:rPr>
                    <w:t>《大气污染物综合排放标准》</w:t>
                  </w:r>
                  <w:r>
                    <w:rPr>
                      <w:rFonts w:ascii="Times New Roman" w:hAnsi="Times New Roman" w:eastAsia="宋体"/>
                      <w:bCs/>
                      <w:sz w:val="21"/>
                      <w:szCs w:val="21"/>
                    </w:rPr>
                    <w:t>（GB16297-1996）表2</w:t>
                  </w:r>
                  <w:r>
                    <w:rPr>
                      <w:rFonts w:hint="eastAsia" w:ascii="宋体" w:hAnsi="宋体" w:eastAsia="宋体" w:cs="宋体"/>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exact"/>
              </w:trPr>
              <w:tc>
                <w:tcPr>
                  <w:tcW w:w="1658"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270" w:type="dxa"/>
                  <w:gridSpan w:val="2"/>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监测日期</w:t>
                  </w:r>
                </w:p>
              </w:tc>
              <w:tc>
                <w:tcPr>
                  <w:tcW w:w="142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最高浓度</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1658"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1755"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15</w:t>
                  </w:r>
                  <w:r>
                    <w:rPr>
                      <w:rFonts w:ascii="Times New Roman" w:hAnsi="Times New Roman" w:eastAsia="宋体"/>
                      <w:sz w:val="21"/>
                      <w:szCs w:val="21"/>
                    </w:rPr>
                    <w:t>日</w:t>
                  </w:r>
                </w:p>
              </w:tc>
              <w:tc>
                <w:tcPr>
                  <w:tcW w:w="1515"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16</w:t>
                  </w:r>
                  <w:r>
                    <w:rPr>
                      <w:rFonts w:ascii="Times New Roman" w:hAnsi="Times New Roman" w:eastAsia="宋体"/>
                      <w:sz w:val="21"/>
                      <w:szCs w:val="21"/>
                    </w:rPr>
                    <w:t>日</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厂界南侧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 xml:space="preserve">1 </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ND</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0.24</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0.24</w:t>
                  </w:r>
                </w:p>
              </w:tc>
              <w:tc>
                <w:tcPr>
                  <w:tcW w:w="3195" w:type="dxa"/>
                  <w:vMerge w:val="restart"/>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0.18</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0.23</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0.17</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0.17</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0.15</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0.13</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厂界西侧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2</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0.56</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0.19</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1.24</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0.61</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0.36</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0.10</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1.24</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0.89</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0.15</w:t>
                  </w:r>
                </w:p>
              </w:tc>
              <w:tc>
                <w:tcPr>
                  <w:tcW w:w="1425"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厂界北侧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eastAsia="宋体"/>
                      <w:bCs/>
                      <w:color w:val="000000" w:themeColor="text1"/>
                      <w:sz w:val="21"/>
                      <w:szCs w:val="21"/>
                      <w:vertAlign w:val="subscript"/>
                      <w14:textFill>
                        <w14:solidFill>
                          <w14:schemeClr w14:val="tx1"/>
                        </w14:solidFill>
                      </w14:textFill>
                    </w:rPr>
                    <w:t>3</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0.68</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0.47</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0.98</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0.09</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0.86</w:t>
                  </w:r>
                </w:p>
              </w:tc>
              <w:tc>
                <w:tcPr>
                  <w:tcW w:w="142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0.17</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0.78</w:t>
                  </w:r>
                </w:p>
              </w:tc>
              <w:tc>
                <w:tcPr>
                  <w:tcW w:w="142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658" w:type="dxa"/>
                  <w:vMerge w:val="continue"/>
                  <w:vAlign w:val="center"/>
                </w:tcPr>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0.98</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0.43</w:t>
                  </w:r>
                </w:p>
              </w:tc>
              <w:tc>
                <w:tcPr>
                  <w:tcW w:w="142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8" w:type="dxa"/>
                  <w:vMerge w:val="restart"/>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厂界东侧</w:t>
                  </w:r>
                </w:p>
                <w:p>
                  <w:pPr>
                    <w:widowControl w:val="0"/>
                    <w:tabs>
                      <w:tab w:val="left" w:pos="2520"/>
                      <w:tab w:val="left" w:pos="2880"/>
                      <w:tab w:val="left" w:pos="3060"/>
                    </w:tabs>
                    <w:adjustRightInd/>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bCs/>
                      <w:color w:val="000000" w:themeColor="text1"/>
                      <w:sz w:val="21"/>
                      <w:szCs w:val="21"/>
                      <w14:textFill>
                        <w14:solidFill>
                          <w14:schemeClr w14:val="tx1"/>
                        </w14:solidFill>
                      </w14:textFill>
                    </w:rPr>
                    <w:t>G</w:t>
                  </w:r>
                  <w:r>
                    <w:rPr>
                      <w:rFonts w:ascii="Times New Roman" w:hAnsi="Times New Roman"/>
                      <w:bCs/>
                      <w:color w:val="000000" w:themeColor="text1"/>
                      <w:sz w:val="21"/>
                      <w:szCs w:val="21"/>
                      <w14:textFill>
                        <w14:solidFill>
                          <w14:schemeClr w14:val="tx1"/>
                        </w14:solidFill>
                      </w14:textFill>
                    </w:rPr>
                    <w:t>4</w:t>
                  </w: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0.13</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0.17</w:t>
                  </w:r>
                </w:p>
              </w:tc>
              <w:tc>
                <w:tcPr>
                  <w:tcW w:w="1425" w:type="dxa"/>
                  <w:vMerge w:val="restart"/>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sz w:val="21"/>
                      <w:szCs w:val="21"/>
                    </w:rPr>
                    <w:t>0.64</w:t>
                  </w: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0.13</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0.15</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0.55</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0.58</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658" w:type="dxa"/>
                  <w:vMerge w:val="continue"/>
                  <w:vAlign w:val="center"/>
                </w:tcPr>
                <w:p>
                  <w:pPr>
                    <w:widowControl w:val="0"/>
                    <w:tabs>
                      <w:tab w:val="left" w:pos="2520"/>
                      <w:tab w:val="left" w:pos="2880"/>
                      <w:tab w:val="left" w:pos="3060"/>
                    </w:tabs>
                    <w:adjustRightInd/>
                    <w:spacing w:after="0"/>
                    <w:jc w:val="center"/>
                    <w:rPr>
                      <w:rFonts w:ascii="宋体" w:hAnsi="宋体" w:eastAsia="宋体" w:cs="宋体"/>
                      <w:color w:val="000000" w:themeColor="text1"/>
                      <w:sz w:val="21"/>
                      <w:szCs w:val="21"/>
                      <w14:textFill>
                        <w14:solidFill>
                          <w14:schemeClr w14:val="tx1"/>
                        </w14:solidFill>
                      </w14:textFill>
                    </w:rPr>
                  </w:pPr>
                </w:p>
              </w:tc>
              <w:tc>
                <w:tcPr>
                  <w:tcW w:w="175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0.12</w:t>
                  </w:r>
                </w:p>
              </w:tc>
              <w:tc>
                <w:tcPr>
                  <w:tcW w:w="151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sz w:val="21"/>
                      <w:szCs w:val="21"/>
                    </w:rPr>
                    <w:t>0.64</w:t>
                  </w:r>
                </w:p>
              </w:tc>
              <w:tc>
                <w:tcPr>
                  <w:tcW w:w="1425" w:type="dxa"/>
                  <w:vMerge w:val="continue"/>
                  <w:vAlign w:val="center"/>
                </w:tcPr>
                <w:p>
                  <w:pPr>
                    <w:widowControl w:val="0"/>
                    <w:tabs>
                      <w:tab w:val="left" w:pos="2520"/>
                      <w:tab w:val="left" w:pos="2880"/>
                      <w:tab w:val="left" w:pos="3060"/>
                    </w:tabs>
                    <w:jc w:val="center"/>
                    <w:rPr>
                      <w:rFonts w:ascii="Times New Roman" w:hAnsi="Times New Roman" w:eastAsia="宋体"/>
                      <w:sz w:val="21"/>
                      <w:szCs w:val="21"/>
                    </w:rPr>
                  </w:pPr>
                </w:p>
              </w:tc>
              <w:tc>
                <w:tcPr>
                  <w:tcW w:w="3195" w:type="dxa"/>
                  <w:vMerge w:val="continue"/>
                  <w:vAlign w:val="center"/>
                </w:tcPr>
                <w:p>
                  <w:pPr>
                    <w:widowControl w:val="0"/>
                    <w:tabs>
                      <w:tab w:val="left" w:pos="2520"/>
                      <w:tab w:val="left" w:pos="2880"/>
                      <w:tab w:val="left" w:pos="3060"/>
                    </w:tabs>
                    <w:adjustRightInd/>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trPr>
              <w:tc>
                <w:tcPr>
                  <w:tcW w:w="4928" w:type="dxa"/>
                  <w:gridSpan w:val="3"/>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达标情况</w:t>
                  </w:r>
                </w:p>
              </w:tc>
              <w:tc>
                <w:tcPr>
                  <w:tcW w:w="1425"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bCs/>
                      <w:sz w:val="21"/>
                      <w:szCs w:val="21"/>
                    </w:rPr>
                    <w:t>达标</w:t>
                  </w:r>
                </w:p>
              </w:tc>
              <w:tc>
                <w:tcPr>
                  <w:tcW w:w="3195" w:type="dxa"/>
                  <w:vAlign w:val="center"/>
                </w:tcPr>
                <w:p>
                  <w:pPr>
                    <w:widowControl w:val="0"/>
                    <w:tabs>
                      <w:tab w:val="left" w:pos="2520"/>
                      <w:tab w:val="left" w:pos="2880"/>
                      <w:tab w:val="left" w:pos="3060"/>
                    </w:tabs>
                    <w:adjustRightInd/>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trPr>
              <w:tc>
                <w:tcPr>
                  <w:tcW w:w="9548" w:type="dxa"/>
                  <w:gridSpan w:val="5"/>
                  <w:vAlign w:val="center"/>
                </w:tcPr>
                <w:p>
                  <w:pPr>
                    <w:widowControl w:val="0"/>
                    <w:tabs>
                      <w:tab w:val="left" w:pos="2520"/>
                      <w:tab w:val="left" w:pos="2880"/>
                      <w:tab w:val="left" w:pos="3060"/>
                    </w:tabs>
                    <w:adjustRightInd/>
                    <w:spacing w:after="0"/>
                    <w:jc w:val="left"/>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备注：ND表示监测结果低于方法检出限，检出限值为</w:t>
                  </w:r>
                  <w:r>
                    <w:rPr>
                      <w:rFonts w:hint="default" w:ascii="Times New Roman" w:hAnsi="Times New Roman" w:cs="Times New Roman" w:eastAsiaTheme="minorEastAsia"/>
                      <w:sz w:val="21"/>
                      <w:szCs w:val="21"/>
                    </w:rPr>
                    <w:t>0.07mg/m³</w:t>
                  </w:r>
                  <w:r>
                    <w:rPr>
                      <w:rFonts w:asciiTheme="minorEastAsia" w:hAnsiTheme="minorEastAsia" w:eastAsiaTheme="minorEastAsia"/>
                      <w:sz w:val="21"/>
                      <w:szCs w:val="21"/>
                    </w:rPr>
                    <w:t>。</w:t>
                  </w:r>
                </w:p>
              </w:tc>
            </w:tr>
          </w:tbl>
          <w:p>
            <w:pPr>
              <w:pStyle w:val="46"/>
              <w:adjustRightInd/>
              <w:spacing w:after="0" w:line="360" w:lineRule="auto"/>
              <w:ind w:firstLine="0" w:firstLineChars="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adjustRightInd/>
              <w:spacing w:after="0" w:line="360" w:lineRule="auto"/>
              <w:ind w:firstLine="420"/>
              <w:rPr>
                <w:rFonts w:ascii="宋体" w:hAnsi="宋体" w:eastAsia="宋体" w:cs="宋体"/>
                <w:sz w:val="21"/>
                <w:szCs w:val="21"/>
              </w:rPr>
            </w:pPr>
          </w:p>
          <w:p>
            <w:pPr>
              <w:pStyle w:val="46"/>
              <w:spacing w:after="0" w:line="240" w:lineRule="auto"/>
              <w:ind w:firstLine="0" w:firstLineChars="0"/>
              <w:rPr>
                <w:rFonts w:ascii="宋体" w:hAnsi="宋体" w:eastAsia="宋体" w:cs="宋体"/>
                <w:sz w:val="21"/>
                <w:szCs w:val="21"/>
              </w:rPr>
            </w:pPr>
          </w:p>
          <w:p>
            <w:pPr>
              <w:pStyle w:val="46"/>
              <w:spacing w:after="0" w:line="360" w:lineRule="auto"/>
              <w:ind w:firstLine="0" w:firstLineChars="0"/>
              <w:rPr>
                <w:rFonts w:ascii="宋体" w:hAnsi="宋体" w:eastAsia="宋体" w:cs="宋体"/>
                <w:sz w:val="24"/>
                <w:szCs w:val="24"/>
              </w:rPr>
            </w:pPr>
          </w:p>
          <w:p>
            <w:pPr>
              <w:pStyle w:val="46"/>
              <w:spacing w:after="0" w:line="360" w:lineRule="auto"/>
              <w:ind w:firstLine="0" w:firstLineChars="0"/>
              <w:rPr>
                <w:rFonts w:ascii="宋体" w:hAnsi="宋体" w:eastAsia="宋体" w:cs="宋体"/>
                <w:sz w:val="24"/>
                <w:szCs w:val="24"/>
              </w:rPr>
            </w:pPr>
          </w:p>
          <w:p>
            <w:pPr>
              <w:pStyle w:val="46"/>
              <w:spacing w:before="120" w:after="0" w:line="240" w:lineRule="auto"/>
              <w:ind w:firstLine="0" w:firstLineChars="0"/>
              <w:rPr>
                <w:rFonts w:eastAsia="宋体"/>
                <w:sz w:val="24"/>
                <w:szCs w:val="24"/>
              </w:rPr>
            </w:pPr>
          </w:p>
          <w:p>
            <w:pPr>
              <w:pStyle w:val="46"/>
              <w:spacing w:after="0" w:line="240" w:lineRule="auto"/>
              <w:ind w:firstLine="0" w:firstLineChars="0"/>
              <w:rPr>
                <w:rFonts w:eastAsia="宋体"/>
                <w:sz w:val="24"/>
                <w:szCs w:val="24"/>
              </w:rPr>
            </w:pPr>
          </w:p>
          <w:p>
            <w:pPr>
              <w:pStyle w:val="46"/>
              <w:spacing w:after="0" w:line="240" w:lineRule="auto"/>
              <w:ind w:firstLine="0" w:firstLineChars="0"/>
              <w:rPr>
                <w:rFonts w:eastAsia="宋体"/>
                <w:sz w:val="24"/>
                <w:szCs w:val="24"/>
              </w:rPr>
            </w:pPr>
          </w:p>
          <w:p>
            <w:pPr>
              <w:pStyle w:val="46"/>
              <w:spacing w:after="0" w:line="240" w:lineRule="auto"/>
              <w:ind w:firstLine="0" w:firstLineChars="0"/>
              <w:rPr>
                <w:rFonts w:eastAsia="宋体"/>
                <w:sz w:val="24"/>
                <w:szCs w:val="24"/>
              </w:rPr>
            </w:pPr>
          </w:p>
          <w:p>
            <w:pPr>
              <w:pStyle w:val="46"/>
              <w:spacing w:after="0" w:line="240" w:lineRule="auto"/>
              <w:ind w:firstLine="0" w:firstLineChars="0"/>
              <w:rPr>
                <w:rFonts w:eastAsia="宋体"/>
                <w:sz w:val="24"/>
                <w:szCs w:val="24"/>
              </w:rPr>
            </w:pPr>
          </w:p>
          <w:p>
            <w:pPr>
              <w:pStyle w:val="46"/>
              <w:spacing w:after="0" w:line="360" w:lineRule="auto"/>
              <w:ind w:firstLine="0" w:firstLineChars="0"/>
              <w:rPr>
                <w:rFonts w:eastAsia="宋体"/>
                <w:sz w:val="24"/>
                <w:szCs w:val="24"/>
              </w:rPr>
            </w:pPr>
          </w:p>
          <w:p>
            <w:pPr>
              <w:pStyle w:val="46"/>
              <w:spacing w:after="0" w:line="360" w:lineRule="auto"/>
              <w:ind w:firstLine="0" w:firstLineChars="0"/>
              <w:rPr>
                <w:rFonts w:eastAsia="宋体"/>
                <w:sz w:val="24"/>
                <w:szCs w:val="24"/>
              </w:rPr>
            </w:pPr>
          </w:p>
          <w:p>
            <w:pPr>
              <w:pStyle w:val="46"/>
              <w:spacing w:after="0" w:line="240" w:lineRule="auto"/>
              <w:ind w:firstLine="0" w:firstLineChars="0"/>
              <w:rPr>
                <w:rFonts w:eastAsia="宋体"/>
                <w:sz w:val="24"/>
                <w:szCs w:val="24"/>
              </w:rPr>
            </w:pPr>
          </w:p>
          <w:p>
            <w:pPr>
              <w:pStyle w:val="46"/>
              <w:spacing w:after="0" w:line="360" w:lineRule="auto"/>
              <w:ind w:firstLine="480"/>
              <w:rPr>
                <w:rFonts w:ascii="宋体" w:hAnsi="宋体" w:eastAsia="宋体" w:cs="宋体"/>
                <w:sz w:val="24"/>
                <w:szCs w:val="24"/>
              </w:rPr>
            </w:pPr>
            <w:r>
              <w:rPr>
                <w:rFonts w:hint="eastAsia" w:eastAsia="宋体"/>
                <w:sz w:val="24"/>
                <w:szCs w:val="24"/>
              </w:rPr>
              <w:t>表</w:t>
            </w:r>
            <w:r>
              <w:rPr>
                <w:rFonts w:eastAsia="宋体"/>
                <w:sz w:val="24"/>
                <w:szCs w:val="24"/>
              </w:rPr>
              <w:t>7-</w:t>
            </w:r>
            <w:r>
              <w:rPr>
                <w:rFonts w:hint="eastAsia" w:eastAsia="宋体"/>
                <w:sz w:val="24"/>
                <w:szCs w:val="24"/>
              </w:rPr>
              <w:t>2</w:t>
            </w:r>
            <w:r>
              <w:rPr>
                <w:rFonts w:hint="eastAsia" w:ascii="宋体" w:hAnsi="宋体" w:eastAsia="宋体" w:cs="宋体"/>
                <w:sz w:val="24"/>
                <w:szCs w:val="24"/>
              </w:rPr>
              <w:t>监测结果显示，无组织废气</w:t>
            </w:r>
            <w:r>
              <w:rPr>
                <w:rFonts w:hint="eastAsia" w:eastAsia="宋体"/>
                <w:sz w:val="24"/>
                <w:szCs w:val="24"/>
              </w:rPr>
              <w:t>非甲烷总烃</w:t>
            </w:r>
            <w:r>
              <w:rPr>
                <w:rFonts w:hint="eastAsia" w:ascii="宋体" w:hAnsi="宋体" w:eastAsia="宋体" w:cs="宋体"/>
                <w:sz w:val="24"/>
                <w:szCs w:val="24"/>
              </w:rPr>
              <w:t>满足《大气污染物综合排放标准》</w:t>
            </w:r>
            <w:r>
              <w:rPr>
                <w:rFonts w:eastAsia="宋体"/>
                <w:sz w:val="24"/>
                <w:szCs w:val="24"/>
              </w:rPr>
              <w:t>（GB16297-1996）表2</w:t>
            </w:r>
            <w:r>
              <w:rPr>
                <w:rFonts w:hint="eastAsia" w:ascii="宋体" w:hAnsi="宋体" w:eastAsia="宋体" w:cs="宋体"/>
                <w:sz w:val="24"/>
                <w:szCs w:val="24"/>
              </w:rPr>
              <w:t>标准限值要求。</w:t>
            </w:r>
          </w:p>
          <w:p>
            <w:pPr>
              <w:pStyle w:val="46"/>
              <w:spacing w:after="0" w:line="240" w:lineRule="auto"/>
              <w:ind w:firstLine="0" w:firstLineChars="0"/>
              <w:rPr>
                <w:rFonts w:ascii="宋体" w:hAnsi="宋体" w:eastAsia="宋体" w:cs="宋体"/>
                <w:sz w:val="24"/>
                <w:szCs w:val="24"/>
              </w:rPr>
            </w:pPr>
          </w:p>
          <w:p>
            <w:pPr>
              <w:pStyle w:val="46"/>
              <w:spacing w:after="0" w:line="240" w:lineRule="auto"/>
              <w:ind w:firstLine="0" w:firstLineChars="0"/>
              <w:rPr>
                <w:rFonts w:ascii="宋体" w:hAnsi="宋体" w:eastAsia="宋体" w:cs="宋体"/>
                <w:sz w:val="24"/>
                <w:szCs w:val="24"/>
              </w:rPr>
            </w:pPr>
          </w:p>
          <w:p>
            <w:pPr>
              <w:pStyle w:val="46"/>
              <w:spacing w:before="120" w:beforeLines="50" w:after="0" w:line="240" w:lineRule="auto"/>
              <w:ind w:firstLine="480"/>
              <w:rPr>
                <w:rFonts w:ascii="宋体" w:hAnsi="宋体" w:eastAsia="宋体" w:cs="宋体"/>
                <w:sz w:val="24"/>
                <w:szCs w:val="24"/>
              </w:rPr>
            </w:pPr>
          </w:p>
          <w:p>
            <w:pPr>
              <w:pStyle w:val="46"/>
              <w:spacing w:before="120" w:beforeLines="50" w:after="0" w:line="240" w:lineRule="auto"/>
              <w:ind w:firstLine="0" w:firstLineChars="0"/>
              <w:rPr>
                <w:rFonts w:ascii="宋体" w:hAnsi="宋体" w:eastAsia="宋体" w:cs="宋体"/>
                <w:sz w:val="24"/>
                <w:szCs w:val="24"/>
              </w:rPr>
            </w:pPr>
          </w:p>
        </w:tc>
      </w:tr>
    </w:tbl>
    <w:p>
      <w:pPr>
        <w:pStyle w:val="20"/>
        <w:spacing w:before="120" w:beforeLines="50" w:after="0"/>
        <w:ind w:firstLine="240" w:firstLineChars="100"/>
        <w:rPr>
          <w:rFonts w:eastAsia="宋体"/>
          <w:color w:val="000000"/>
          <w:szCs w:val="21"/>
        </w:rPr>
        <w:sectPr>
          <w:pgSz w:w="11906" w:h="16838"/>
          <w:pgMar w:top="1440" w:right="1800" w:bottom="1440" w:left="1800" w:header="708" w:footer="708" w:gutter="0"/>
          <w:cols w:space="720" w:num="1"/>
          <w:docGrid w:linePitch="360" w:charSpace="0"/>
        </w:sectPr>
      </w:pPr>
    </w:p>
    <w:tbl>
      <w:tblPr>
        <w:tblStyle w:val="18"/>
        <w:tblW w:w="10156" w:type="dxa"/>
        <w:jc w:val="center"/>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3" w:hRule="atLeast"/>
          <w:jc w:val="center"/>
        </w:trPr>
        <w:tc>
          <w:tcPr>
            <w:tcW w:w="10156" w:type="dxa"/>
          </w:tcPr>
          <w:p>
            <w:pPr>
              <w:pStyle w:val="46"/>
              <w:spacing w:before="120" w:beforeLines="50" w:after="0" w:line="360" w:lineRule="auto"/>
              <w:ind w:firstLine="0" w:firstLineChars="0"/>
              <w:jc w:val="center"/>
              <w:rPr>
                <w:rFonts w:ascii="宋体" w:hAnsi="宋体" w:eastAsia="宋体" w:cs="宋体"/>
                <w:b/>
                <w:bCs/>
                <w:sz w:val="18"/>
                <w:szCs w:val="18"/>
              </w:rPr>
            </w:pPr>
            <w:r>
              <w:rPr>
                <w:rFonts w:hint="eastAsia" w:ascii="宋体" w:hAnsi="宋体" w:eastAsia="宋体" w:cs="宋体"/>
                <w:b/>
                <w:bCs/>
                <w:sz w:val="24"/>
                <w:szCs w:val="24"/>
              </w:rPr>
              <w:t xml:space="preserve">                      表7-3  厂界噪声监测结果   </w:t>
            </w:r>
            <w:r>
              <w:rPr>
                <w:rFonts w:hint="eastAsia" w:ascii="宋体" w:hAnsi="宋体" w:eastAsia="宋体" w:cs="宋体"/>
                <w:b/>
                <w:bCs/>
                <w:sz w:val="21"/>
                <w:szCs w:val="21"/>
              </w:rPr>
              <w:t xml:space="preserve">        </w:t>
            </w:r>
            <w:r>
              <w:rPr>
                <w:rFonts w:hint="eastAsia" w:ascii="宋体" w:hAnsi="宋体" w:eastAsia="宋体" w:cs="宋体"/>
                <w:b/>
                <w:bCs/>
                <w:sz w:val="18"/>
                <w:szCs w:val="18"/>
              </w:rPr>
              <w:t>单位：dB(A)</w:t>
            </w:r>
          </w:p>
          <w:tbl>
            <w:tblPr>
              <w:tblStyle w:val="19"/>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155"/>
              <w:gridCol w:w="975"/>
              <w:gridCol w:w="885"/>
              <w:gridCol w:w="915"/>
              <w:gridCol w:w="1050"/>
              <w:gridCol w:w="117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287"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编号</w:t>
                  </w:r>
                </w:p>
              </w:tc>
              <w:tc>
                <w:tcPr>
                  <w:tcW w:w="1155"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监测点位</w:t>
                  </w:r>
                </w:p>
              </w:tc>
              <w:tc>
                <w:tcPr>
                  <w:tcW w:w="3825" w:type="dxa"/>
                  <w:gridSpan w:val="4"/>
                  <w:vAlign w:val="center"/>
                </w:tcPr>
                <w:p>
                  <w:pPr>
                    <w:pStyle w:val="47"/>
                    <w:widowControl/>
                    <w:spacing w:after="0"/>
                    <w:rPr>
                      <w:rFonts w:ascii="宋体" w:hAnsi="宋体" w:eastAsia="宋体" w:cs="宋体"/>
                      <w:szCs w:val="21"/>
                    </w:rPr>
                  </w:pPr>
                  <w:r>
                    <w:rPr>
                      <w:rFonts w:hint="eastAsia" w:ascii="宋体" w:hAnsi="宋体" w:eastAsia="宋体" w:cs="宋体"/>
                      <w:szCs w:val="21"/>
                    </w:rPr>
                    <w:t>测量日期</w:t>
                  </w:r>
                </w:p>
              </w:tc>
              <w:tc>
                <w:tcPr>
                  <w:tcW w:w="2681" w:type="dxa"/>
                  <w:gridSpan w:val="2"/>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《工业企业厂界环境噪声排放标准》</w:t>
                  </w:r>
                  <w:r>
                    <w:rPr>
                      <w:rFonts w:eastAsia="宋体"/>
                      <w:szCs w:val="21"/>
                    </w:rPr>
                    <w:t>GB12348-2008）</w:t>
                  </w:r>
                  <w:r>
                    <w:rPr>
                      <w:rFonts w:hint="eastAsia" w:eastAsia="宋体"/>
                      <w:szCs w:val="21"/>
                    </w:rPr>
                    <w:t>2</w:t>
                  </w:r>
                  <w:r>
                    <w:rPr>
                      <w:rFonts w:hint="eastAsia" w:ascii="宋体" w:hAnsi="宋体" w:eastAsia="宋体" w:cs="宋体"/>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287" w:type="dxa"/>
                  <w:vMerge w:val="continue"/>
                  <w:vAlign w:val="center"/>
                </w:tcPr>
                <w:p>
                  <w:pPr>
                    <w:pStyle w:val="47"/>
                    <w:widowControl/>
                    <w:spacing w:after="0"/>
                    <w:rPr>
                      <w:rFonts w:ascii="宋体" w:hAnsi="宋体" w:eastAsia="宋体" w:cs="宋体"/>
                      <w:szCs w:val="21"/>
                    </w:rPr>
                  </w:pPr>
                </w:p>
              </w:tc>
              <w:tc>
                <w:tcPr>
                  <w:tcW w:w="1155" w:type="dxa"/>
                  <w:vMerge w:val="continue"/>
                  <w:vAlign w:val="center"/>
                </w:tcPr>
                <w:p>
                  <w:pPr>
                    <w:pStyle w:val="47"/>
                    <w:widowControl/>
                    <w:spacing w:after="0"/>
                    <w:rPr>
                      <w:rFonts w:ascii="宋体" w:hAnsi="宋体" w:eastAsia="宋体" w:cs="宋体"/>
                      <w:szCs w:val="21"/>
                    </w:rPr>
                  </w:pPr>
                </w:p>
              </w:tc>
              <w:tc>
                <w:tcPr>
                  <w:tcW w:w="1860" w:type="dxa"/>
                  <w:gridSpan w:val="2"/>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15</w:t>
                  </w:r>
                  <w:r>
                    <w:rPr>
                      <w:rFonts w:ascii="Times New Roman" w:hAnsi="Times New Roman" w:eastAsia="宋体"/>
                      <w:sz w:val="21"/>
                      <w:szCs w:val="21"/>
                    </w:rPr>
                    <w:t>日</w:t>
                  </w:r>
                </w:p>
              </w:tc>
              <w:tc>
                <w:tcPr>
                  <w:tcW w:w="1965" w:type="dxa"/>
                  <w:gridSpan w:val="2"/>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月</w:t>
                  </w:r>
                  <w:r>
                    <w:rPr>
                      <w:rFonts w:hint="eastAsia" w:ascii="Times New Roman" w:hAnsi="Times New Roman" w:eastAsia="宋体"/>
                      <w:sz w:val="21"/>
                      <w:szCs w:val="21"/>
                    </w:rPr>
                    <w:t>16</w:t>
                  </w:r>
                  <w:r>
                    <w:rPr>
                      <w:rFonts w:ascii="Times New Roman" w:hAnsi="Times New Roman" w:eastAsia="宋体"/>
                      <w:sz w:val="21"/>
                      <w:szCs w:val="21"/>
                    </w:rPr>
                    <w:t>日</w:t>
                  </w:r>
                </w:p>
              </w:tc>
              <w:tc>
                <w:tcPr>
                  <w:tcW w:w="2681" w:type="dxa"/>
                  <w:gridSpan w:val="2"/>
                  <w:vMerge w:val="continue"/>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287" w:type="dxa"/>
                  <w:vMerge w:val="continue"/>
                  <w:vAlign w:val="center"/>
                </w:tcPr>
                <w:p>
                  <w:pPr>
                    <w:pStyle w:val="47"/>
                    <w:widowControl/>
                    <w:spacing w:after="0"/>
                    <w:rPr>
                      <w:rFonts w:ascii="宋体" w:hAnsi="宋体" w:eastAsia="宋体" w:cs="宋体"/>
                      <w:szCs w:val="21"/>
                    </w:rPr>
                  </w:pPr>
                </w:p>
              </w:tc>
              <w:tc>
                <w:tcPr>
                  <w:tcW w:w="1155" w:type="dxa"/>
                  <w:vMerge w:val="continue"/>
                  <w:vAlign w:val="center"/>
                </w:tcPr>
                <w:p>
                  <w:pPr>
                    <w:pStyle w:val="47"/>
                    <w:widowControl/>
                    <w:spacing w:after="0"/>
                    <w:rPr>
                      <w:rFonts w:ascii="宋体" w:hAnsi="宋体" w:eastAsia="宋体" w:cs="宋体"/>
                      <w:szCs w:val="21"/>
                    </w:rPr>
                  </w:pPr>
                </w:p>
              </w:tc>
              <w:tc>
                <w:tcPr>
                  <w:tcW w:w="97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eastAsia="宋体"/>
                      <w:sz w:val="21"/>
                      <w:szCs w:val="21"/>
                    </w:rPr>
                    <w:t>昼间</w:t>
                  </w:r>
                </w:p>
              </w:tc>
              <w:tc>
                <w:tcPr>
                  <w:tcW w:w="88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eastAsia="宋体"/>
                      <w:sz w:val="21"/>
                      <w:szCs w:val="21"/>
                    </w:rPr>
                    <w:t>夜间</w:t>
                  </w:r>
                </w:p>
              </w:tc>
              <w:tc>
                <w:tcPr>
                  <w:tcW w:w="91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eastAsia="宋体"/>
                      <w:sz w:val="21"/>
                      <w:szCs w:val="21"/>
                    </w:rPr>
                    <w:t>昼间</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eastAsia="宋体"/>
                      <w:sz w:val="21"/>
                      <w:szCs w:val="21"/>
                    </w:rPr>
                    <w:t>夜间</w:t>
                  </w:r>
                </w:p>
              </w:tc>
              <w:tc>
                <w:tcPr>
                  <w:tcW w:w="117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昼间</w:t>
                  </w:r>
                </w:p>
              </w:tc>
              <w:tc>
                <w:tcPr>
                  <w:tcW w:w="1511"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287"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sz w:val="21"/>
                      <w:szCs w:val="21"/>
                    </w:rPr>
                    <w:t>N1</w:t>
                  </w:r>
                </w:p>
              </w:tc>
              <w:tc>
                <w:tcPr>
                  <w:tcW w:w="1155" w:type="dxa"/>
                  <w:vAlign w:val="center"/>
                </w:tcPr>
                <w:p>
                  <w:pPr>
                    <w:widowControl/>
                    <w:spacing w:after="0" w:line="240" w:lineRule="atLeast"/>
                    <w:jc w:val="center"/>
                    <w:rPr>
                      <w:rFonts w:ascii="宋体" w:hAnsi="宋体" w:eastAsia="宋体" w:cs="宋体"/>
                      <w:sz w:val="21"/>
                      <w:szCs w:val="21"/>
                    </w:rPr>
                  </w:pPr>
                  <w:r>
                    <w:rPr>
                      <w:rFonts w:hint="eastAsia" w:ascii="宋体" w:hAnsi="宋体" w:eastAsia="宋体" w:cs="宋体"/>
                      <w:sz w:val="21"/>
                      <w:szCs w:val="21"/>
                    </w:rPr>
                    <w:t>厂界东侧</w:t>
                  </w:r>
                </w:p>
              </w:tc>
              <w:tc>
                <w:tcPr>
                  <w:tcW w:w="97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50.2</w:t>
                  </w:r>
                </w:p>
              </w:tc>
              <w:tc>
                <w:tcPr>
                  <w:tcW w:w="88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40.7</w:t>
                  </w:r>
                </w:p>
              </w:tc>
              <w:tc>
                <w:tcPr>
                  <w:tcW w:w="91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52.1</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39.1</w:t>
                  </w:r>
                </w:p>
              </w:tc>
              <w:tc>
                <w:tcPr>
                  <w:tcW w:w="1170" w:type="dxa"/>
                  <w:vMerge w:val="restart"/>
                  <w:vAlign w:val="center"/>
                </w:tcPr>
                <w:p>
                  <w:pPr>
                    <w:pStyle w:val="47"/>
                    <w:widowControl/>
                    <w:spacing w:after="0"/>
                    <w:rPr>
                      <w:rFonts w:eastAsia="宋体"/>
                      <w:szCs w:val="21"/>
                    </w:rPr>
                  </w:pPr>
                  <w:r>
                    <w:rPr>
                      <w:rFonts w:eastAsia="宋体"/>
                      <w:szCs w:val="21"/>
                    </w:rPr>
                    <w:t>6</w:t>
                  </w:r>
                  <w:r>
                    <w:rPr>
                      <w:rFonts w:hint="eastAsia" w:eastAsia="宋体"/>
                      <w:szCs w:val="21"/>
                    </w:rPr>
                    <w:t>0</w:t>
                  </w:r>
                </w:p>
              </w:tc>
              <w:tc>
                <w:tcPr>
                  <w:tcW w:w="1511" w:type="dxa"/>
                  <w:vMerge w:val="restart"/>
                  <w:vAlign w:val="center"/>
                </w:tcPr>
                <w:p>
                  <w:pPr>
                    <w:pStyle w:val="47"/>
                    <w:widowControl/>
                    <w:spacing w:after="0"/>
                    <w:rPr>
                      <w:rFonts w:eastAsia="宋体"/>
                      <w:szCs w:val="21"/>
                    </w:rPr>
                  </w:pPr>
                  <w:r>
                    <w:rPr>
                      <w:rFonts w:hint="eastAsia" w:eastAsia="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287"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sz w:val="21"/>
                      <w:szCs w:val="21"/>
                    </w:rPr>
                    <w:t>N2</w:t>
                  </w:r>
                </w:p>
              </w:tc>
              <w:tc>
                <w:tcPr>
                  <w:tcW w:w="1155" w:type="dxa"/>
                  <w:vAlign w:val="center"/>
                </w:tcPr>
                <w:p>
                  <w:pPr>
                    <w:widowControl/>
                    <w:spacing w:after="0" w:line="240" w:lineRule="atLeast"/>
                    <w:jc w:val="center"/>
                    <w:rPr>
                      <w:rFonts w:ascii="宋体" w:hAnsi="宋体" w:eastAsia="宋体" w:cs="宋体"/>
                      <w:sz w:val="21"/>
                      <w:szCs w:val="21"/>
                    </w:rPr>
                  </w:pPr>
                  <w:r>
                    <w:rPr>
                      <w:rFonts w:hint="eastAsia" w:ascii="宋体" w:hAnsi="宋体" w:eastAsia="宋体" w:cs="宋体"/>
                      <w:sz w:val="21"/>
                      <w:szCs w:val="21"/>
                    </w:rPr>
                    <w:t>厂界南侧</w:t>
                  </w:r>
                </w:p>
              </w:tc>
              <w:tc>
                <w:tcPr>
                  <w:tcW w:w="97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50.9</w:t>
                  </w:r>
                </w:p>
              </w:tc>
              <w:tc>
                <w:tcPr>
                  <w:tcW w:w="88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40.7</w:t>
                  </w:r>
                </w:p>
              </w:tc>
              <w:tc>
                <w:tcPr>
                  <w:tcW w:w="91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51.6</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41.2</w:t>
                  </w:r>
                </w:p>
              </w:tc>
              <w:tc>
                <w:tcPr>
                  <w:tcW w:w="1170" w:type="dxa"/>
                  <w:vMerge w:val="continue"/>
                  <w:vAlign w:val="center"/>
                </w:tcPr>
                <w:p>
                  <w:pPr>
                    <w:pStyle w:val="47"/>
                    <w:widowControl/>
                    <w:spacing w:after="0"/>
                    <w:rPr>
                      <w:rFonts w:eastAsia="宋体"/>
                      <w:szCs w:val="21"/>
                    </w:rPr>
                  </w:pPr>
                </w:p>
              </w:tc>
              <w:tc>
                <w:tcPr>
                  <w:tcW w:w="1511" w:type="dxa"/>
                  <w:vMerge w:val="continue"/>
                  <w:vAlign w:val="center"/>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287"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sz w:val="21"/>
                      <w:szCs w:val="21"/>
                    </w:rPr>
                    <w:t>N3</w:t>
                  </w:r>
                </w:p>
              </w:tc>
              <w:tc>
                <w:tcPr>
                  <w:tcW w:w="1155" w:type="dxa"/>
                  <w:vAlign w:val="center"/>
                </w:tcPr>
                <w:p>
                  <w:pPr>
                    <w:widowControl/>
                    <w:spacing w:after="0" w:line="240" w:lineRule="atLeast"/>
                    <w:jc w:val="center"/>
                    <w:rPr>
                      <w:rFonts w:ascii="宋体" w:hAnsi="宋体" w:eastAsia="宋体" w:cs="宋体"/>
                      <w:sz w:val="21"/>
                      <w:szCs w:val="21"/>
                    </w:rPr>
                  </w:pPr>
                  <w:r>
                    <w:rPr>
                      <w:rFonts w:hint="eastAsia" w:ascii="宋体" w:hAnsi="宋体" w:eastAsia="宋体" w:cs="宋体"/>
                      <w:sz w:val="21"/>
                      <w:szCs w:val="21"/>
                    </w:rPr>
                    <w:t>厂界西侧</w:t>
                  </w:r>
                </w:p>
              </w:tc>
              <w:tc>
                <w:tcPr>
                  <w:tcW w:w="97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49.9</w:t>
                  </w:r>
                </w:p>
              </w:tc>
              <w:tc>
                <w:tcPr>
                  <w:tcW w:w="88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41.3</w:t>
                  </w:r>
                </w:p>
              </w:tc>
              <w:tc>
                <w:tcPr>
                  <w:tcW w:w="91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51.7</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40.6</w:t>
                  </w:r>
                </w:p>
              </w:tc>
              <w:tc>
                <w:tcPr>
                  <w:tcW w:w="1170" w:type="dxa"/>
                  <w:vMerge w:val="continue"/>
                </w:tcPr>
                <w:p>
                  <w:pPr>
                    <w:pStyle w:val="47"/>
                    <w:widowControl/>
                    <w:spacing w:after="0"/>
                    <w:rPr>
                      <w:rFonts w:eastAsia="宋体"/>
                      <w:szCs w:val="21"/>
                    </w:rPr>
                  </w:pPr>
                </w:p>
              </w:tc>
              <w:tc>
                <w:tcPr>
                  <w:tcW w:w="1511" w:type="dxa"/>
                  <w:vMerge w:val="continue"/>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1287"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bCs/>
                      <w:color w:val="000000" w:themeColor="text1"/>
                      <w:sz w:val="21"/>
                      <w:szCs w:val="21"/>
                      <w14:textFill>
                        <w14:solidFill>
                          <w14:schemeClr w14:val="tx1"/>
                        </w14:solidFill>
                      </w14:textFill>
                    </w:rPr>
                    <w:t>19/079-</w:t>
                  </w:r>
                  <w:r>
                    <w:rPr>
                      <w:rFonts w:ascii="Times New Roman" w:hAnsi="Times New Roman" w:eastAsia="宋体"/>
                      <w:sz w:val="21"/>
                      <w:szCs w:val="21"/>
                    </w:rPr>
                    <w:t>N4</w:t>
                  </w:r>
                </w:p>
              </w:tc>
              <w:tc>
                <w:tcPr>
                  <w:tcW w:w="1155" w:type="dxa"/>
                  <w:vAlign w:val="center"/>
                </w:tcPr>
                <w:p>
                  <w:pPr>
                    <w:widowControl/>
                    <w:spacing w:after="0" w:line="240" w:lineRule="atLeast"/>
                    <w:jc w:val="center"/>
                    <w:rPr>
                      <w:rFonts w:ascii="宋体" w:hAnsi="宋体" w:eastAsia="宋体" w:cs="宋体"/>
                      <w:sz w:val="21"/>
                      <w:szCs w:val="21"/>
                    </w:rPr>
                  </w:pPr>
                  <w:r>
                    <w:rPr>
                      <w:rFonts w:hint="eastAsia" w:ascii="宋体" w:hAnsi="宋体" w:eastAsia="宋体" w:cs="宋体"/>
                      <w:sz w:val="21"/>
                      <w:szCs w:val="21"/>
                    </w:rPr>
                    <w:t>厂界北侧</w:t>
                  </w:r>
                </w:p>
              </w:tc>
              <w:tc>
                <w:tcPr>
                  <w:tcW w:w="97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52.8</w:t>
                  </w:r>
                </w:p>
              </w:tc>
              <w:tc>
                <w:tcPr>
                  <w:tcW w:w="88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39.9</w:t>
                  </w:r>
                </w:p>
              </w:tc>
              <w:tc>
                <w:tcPr>
                  <w:tcW w:w="915"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50.7</w:t>
                  </w:r>
                </w:p>
              </w:tc>
              <w:tc>
                <w:tcPr>
                  <w:tcW w:w="1050" w:type="dxa"/>
                  <w:vAlign w:val="center"/>
                </w:tcPr>
                <w:p>
                  <w:pPr>
                    <w:widowControl/>
                    <w:spacing w:after="0" w:line="240" w:lineRule="atLeast"/>
                    <w:jc w:val="center"/>
                    <w:rPr>
                      <w:rFonts w:ascii="Times New Roman" w:hAnsi="Times New Roman" w:eastAsia="宋体"/>
                      <w:sz w:val="21"/>
                      <w:szCs w:val="21"/>
                    </w:rPr>
                  </w:pPr>
                  <w:r>
                    <w:rPr>
                      <w:rFonts w:ascii="Times New Roman" w:hAnsi="Times New Roman"/>
                      <w:sz w:val="21"/>
                      <w:szCs w:val="21"/>
                    </w:rPr>
                    <w:t>40.9</w:t>
                  </w:r>
                </w:p>
              </w:tc>
              <w:tc>
                <w:tcPr>
                  <w:tcW w:w="1170" w:type="dxa"/>
                  <w:vMerge w:val="continue"/>
                </w:tcPr>
                <w:p>
                  <w:pPr>
                    <w:pStyle w:val="47"/>
                    <w:widowControl/>
                    <w:spacing w:after="0"/>
                    <w:rPr>
                      <w:rFonts w:eastAsia="宋体"/>
                      <w:szCs w:val="21"/>
                    </w:rPr>
                  </w:pPr>
                </w:p>
              </w:tc>
              <w:tc>
                <w:tcPr>
                  <w:tcW w:w="1511" w:type="dxa"/>
                  <w:vMerge w:val="continue"/>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442" w:type="dxa"/>
                  <w:gridSpan w:val="2"/>
                  <w:vAlign w:val="center"/>
                </w:tcPr>
                <w:p>
                  <w:pPr>
                    <w:pStyle w:val="47"/>
                    <w:widowControl/>
                    <w:spacing w:after="0"/>
                    <w:rPr>
                      <w:rFonts w:ascii="宋体" w:hAnsi="宋体" w:eastAsia="宋体" w:cs="宋体"/>
                      <w:szCs w:val="21"/>
                    </w:rPr>
                  </w:pPr>
                  <w:r>
                    <w:rPr>
                      <w:rFonts w:hint="eastAsia" w:ascii="宋体" w:hAnsi="宋体" w:eastAsia="宋体" w:cs="宋体"/>
                      <w:szCs w:val="21"/>
                    </w:rPr>
                    <w:t>达标情况</w:t>
                  </w:r>
                </w:p>
              </w:tc>
              <w:tc>
                <w:tcPr>
                  <w:tcW w:w="975" w:type="dxa"/>
                  <w:vAlign w:val="center"/>
                </w:tcPr>
                <w:p>
                  <w:pPr>
                    <w:pStyle w:val="47"/>
                    <w:widowControl/>
                    <w:spacing w:after="0"/>
                    <w:rPr>
                      <w:rFonts w:eastAsia="宋体"/>
                      <w:szCs w:val="21"/>
                    </w:rPr>
                  </w:pPr>
                  <w:r>
                    <w:rPr>
                      <w:rFonts w:eastAsia="宋体"/>
                      <w:szCs w:val="21"/>
                    </w:rPr>
                    <w:t>达标</w:t>
                  </w:r>
                </w:p>
              </w:tc>
              <w:tc>
                <w:tcPr>
                  <w:tcW w:w="885" w:type="dxa"/>
                  <w:vAlign w:val="center"/>
                </w:tcPr>
                <w:p>
                  <w:pPr>
                    <w:pStyle w:val="47"/>
                    <w:widowControl/>
                    <w:spacing w:after="0"/>
                    <w:rPr>
                      <w:rFonts w:eastAsia="宋体"/>
                      <w:szCs w:val="21"/>
                    </w:rPr>
                  </w:pPr>
                  <w:r>
                    <w:rPr>
                      <w:rFonts w:eastAsia="宋体"/>
                      <w:szCs w:val="21"/>
                    </w:rPr>
                    <w:t>达标</w:t>
                  </w:r>
                </w:p>
              </w:tc>
              <w:tc>
                <w:tcPr>
                  <w:tcW w:w="915" w:type="dxa"/>
                  <w:vAlign w:val="center"/>
                </w:tcPr>
                <w:p>
                  <w:pPr>
                    <w:pStyle w:val="47"/>
                    <w:widowControl/>
                    <w:spacing w:after="0"/>
                    <w:rPr>
                      <w:rFonts w:eastAsia="宋体"/>
                      <w:szCs w:val="21"/>
                    </w:rPr>
                  </w:pPr>
                  <w:r>
                    <w:rPr>
                      <w:rFonts w:eastAsia="宋体"/>
                      <w:szCs w:val="21"/>
                    </w:rPr>
                    <w:t>达标</w:t>
                  </w:r>
                </w:p>
              </w:tc>
              <w:tc>
                <w:tcPr>
                  <w:tcW w:w="1050" w:type="dxa"/>
                  <w:vAlign w:val="center"/>
                </w:tcPr>
                <w:p>
                  <w:pPr>
                    <w:pStyle w:val="47"/>
                    <w:widowControl/>
                    <w:spacing w:after="0"/>
                    <w:rPr>
                      <w:rFonts w:eastAsia="宋体"/>
                      <w:szCs w:val="21"/>
                    </w:rPr>
                  </w:pPr>
                  <w:r>
                    <w:rPr>
                      <w:rFonts w:eastAsia="宋体"/>
                      <w:szCs w:val="21"/>
                    </w:rPr>
                    <w:t>达标</w:t>
                  </w:r>
                </w:p>
              </w:tc>
              <w:tc>
                <w:tcPr>
                  <w:tcW w:w="2681" w:type="dxa"/>
                  <w:gridSpan w:val="2"/>
                  <w:vAlign w:val="center"/>
                </w:tcPr>
                <w:p>
                  <w:pPr>
                    <w:pStyle w:val="47"/>
                    <w:widowControl/>
                    <w:spacing w:after="0"/>
                    <w:rPr>
                      <w:rFonts w:eastAsia="宋体"/>
                      <w:szCs w:val="21"/>
                    </w:rPr>
                  </w:pPr>
                  <w:r>
                    <w:rPr>
                      <w:rFonts w:eastAsia="宋体"/>
                      <w:szCs w:val="21"/>
                    </w:rPr>
                    <w:t>——</w:t>
                  </w:r>
                </w:p>
              </w:tc>
            </w:tr>
          </w:tbl>
          <w:p>
            <w:pPr>
              <w:pStyle w:val="46"/>
              <w:ind w:firstLine="720" w:firstLineChars="300"/>
              <w:rPr>
                <w:rFonts w:ascii="宋体" w:hAnsi="宋体" w:eastAsia="宋体" w:cs="宋体"/>
                <w:sz w:val="24"/>
                <w:szCs w:val="24"/>
              </w:rPr>
            </w:pPr>
            <w:r>
              <w:rPr>
                <w:rFonts w:hint="eastAsia" w:ascii="宋体" w:hAnsi="宋体" w:eastAsia="宋体" w:cs="宋体"/>
                <w:sz w:val="24"/>
                <w:szCs w:val="24"/>
              </w:rPr>
              <w:t>表</w:t>
            </w:r>
            <w:r>
              <w:rPr>
                <w:rFonts w:eastAsia="宋体"/>
                <w:sz w:val="24"/>
                <w:szCs w:val="24"/>
              </w:rPr>
              <w:t>7-</w:t>
            </w:r>
            <w:r>
              <w:rPr>
                <w:rFonts w:hint="eastAsia" w:eastAsia="宋体"/>
                <w:sz w:val="24"/>
                <w:szCs w:val="24"/>
              </w:rPr>
              <w:t>3</w:t>
            </w:r>
            <w:r>
              <w:rPr>
                <w:rFonts w:hint="eastAsia" w:ascii="宋体" w:hAnsi="宋体" w:eastAsia="宋体" w:cs="宋体"/>
                <w:sz w:val="24"/>
                <w:szCs w:val="24"/>
              </w:rPr>
              <w:t>监测结果显示，项目界边昼间、夜间噪声值满足《工业企业厂界环境噪声排放标准》</w:t>
            </w:r>
            <w:r>
              <w:rPr>
                <w:rFonts w:eastAsia="宋体"/>
                <w:sz w:val="24"/>
                <w:szCs w:val="24"/>
              </w:rPr>
              <w:t>（GB12348-2008）</w:t>
            </w:r>
            <w:r>
              <w:rPr>
                <w:rFonts w:hint="eastAsia" w:eastAsia="宋体"/>
                <w:sz w:val="24"/>
                <w:szCs w:val="24"/>
              </w:rPr>
              <w:t>2</w:t>
            </w:r>
            <w:r>
              <w:rPr>
                <w:rFonts w:hint="eastAsia" w:ascii="宋体" w:hAnsi="宋体" w:eastAsia="宋体" w:cs="宋体"/>
                <w:sz w:val="24"/>
                <w:szCs w:val="24"/>
              </w:rPr>
              <w:t>类标准限值要求。</w:t>
            </w:r>
          </w:p>
          <w:p>
            <w:pPr>
              <w:pStyle w:val="46"/>
              <w:adjustRightInd/>
              <w:spacing w:after="0" w:line="360" w:lineRule="auto"/>
              <w:ind w:firstLine="0" w:firstLineChars="0"/>
              <w:rPr>
                <w:rFonts w:ascii="宋体" w:hAnsi="宋体" w:eastAsia="宋体" w:cs="宋体"/>
                <w:sz w:val="24"/>
                <w:szCs w:val="24"/>
              </w:rPr>
            </w:pPr>
          </w:p>
        </w:tc>
      </w:tr>
    </w:tbl>
    <w:p>
      <w:pPr>
        <w:pStyle w:val="6"/>
        <w:ind w:firstLine="0" w:firstLineChars="0"/>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0"/>
          <w:szCs w:val="30"/>
        </w:rPr>
      </w:pPr>
      <w:bookmarkStart w:id="14" w:name="_Toc14452_WPSOffice_Level1"/>
      <w:r>
        <w:rPr>
          <w:rFonts w:hint="eastAsia" w:ascii="宋体" w:hAnsi="宋体" w:eastAsia="宋体" w:cs="宋体"/>
          <w:b/>
          <w:color w:val="000000"/>
          <w:sz w:val="30"/>
          <w:szCs w:val="30"/>
        </w:rPr>
        <w:t>表八  验收监测结论</w:t>
      </w:r>
      <w:bookmarkEnd w:id="14"/>
    </w:p>
    <w:tbl>
      <w:tblPr>
        <w:tblStyle w:val="18"/>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9" w:hRule="atLeast"/>
          <w:jc w:val="center"/>
        </w:trPr>
        <w:tc>
          <w:tcPr>
            <w:tcW w:w="8924" w:type="dxa"/>
          </w:tcPr>
          <w:p>
            <w:pPr>
              <w:pStyle w:val="46"/>
              <w:spacing w:after="0"/>
              <w:ind w:firstLine="482"/>
              <w:rPr>
                <w:rFonts w:ascii="宋体" w:hAnsi="宋体" w:eastAsia="宋体" w:cs="宋体"/>
                <w:b/>
                <w:bCs/>
                <w:sz w:val="24"/>
                <w:szCs w:val="24"/>
              </w:rPr>
            </w:pPr>
            <w:r>
              <w:rPr>
                <w:rFonts w:hint="eastAsia" w:ascii="宋体" w:hAnsi="宋体" w:eastAsia="宋体" w:cs="宋体"/>
                <w:b/>
                <w:bCs/>
                <w:sz w:val="24"/>
                <w:szCs w:val="24"/>
              </w:rPr>
              <w:t>1、环保设施处理效率监测结果</w:t>
            </w:r>
          </w:p>
          <w:p>
            <w:pPr>
              <w:pStyle w:val="46"/>
              <w:spacing w:after="0"/>
              <w:ind w:firstLine="480"/>
              <w:rPr>
                <w:rFonts w:ascii="宋体" w:hAnsi="宋体" w:eastAsia="宋体" w:cs="宋体"/>
                <w:sz w:val="24"/>
                <w:szCs w:val="24"/>
              </w:rPr>
            </w:pPr>
            <w:r>
              <w:rPr>
                <w:rFonts w:hint="eastAsia" w:ascii="宋体" w:hAnsi="宋体" w:eastAsia="宋体" w:cs="宋体"/>
                <w:sz w:val="24"/>
                <w:szCs w:val="24"/>
              </w:rPr>
              <w:t>对于项目废水、废气环保设施处理效率，环评报告表及批复未作要求。</w:t>
            </w:r>
          </w:p>
          <w:p>
            <w:pPr>
              <w:pStyle w:val="46"/>
              <w:numPr>
                <w:ilvl w:val="0"/>
                <w:numId w:val="3"/>
              </w:numPr>
              <w:spacing w:after="0" w:line="520" w:lineRule="exact"/>
              <w:ind w:firstLine="482"/>
              <w:rPr>
                <w:rFonts w:ascii="宋体" w:hAnsi="宋体" w:eastAsia="宋体" w:cs="宋体"/>
                <w:b/>
                <w:bCs/>
                <w:sz w:val="24"/>
                <w:szCs w:val="24"/>
              </w:rPr>
            </w:pPr>
            <w:r>
              <w:rPr>
                <w:rFonts w:hint="eastAsia" w:ascii="宋体" w:hAnsi="宋体" w:eastAsia="宋体" w:cs="宋体"/>
                <w:b/>
                <w:bCs/>
                <w:sz w:val="24"/>
                <w:szCs w:val="24"/>
              </w:rPr>
              <w:t>污染物排放监测结果</w:t>
            </w:r>
          </w:p>
          <w:p>
            <w:pPr>
              <w:pStyle w:val="46"/>
              <w:numPr>
                <w:ilvl w:val="0"/>
                <w:numId w:val="6"/>
              </w:numPr>
              <w:spacing w:after="0" w:line="520" w:lineRule="exact"/>
              <w:ind w:firstLine="480"/>
              <w:rPr>
                <w:rFonts w:eastAsia="宋体"/>
                <w:sz w:val="24"/>
                <w:szCs w:val="24"/>
              </w:rPr>
            </w:pPr>
            <w:r>
              <w:rPr>
                <w:rFonts w:eastAsia="宋体"/>
                <w:sz w:val="24"/>
                <w:szCs w:val="24"/>
              </w:rPr>
              <w:t>无组织</w:t>
            </w:r>
            <w:r>
              <w:rPr>
                <w:rFonts w:hint="eastAsia" w:eastAsia="宋体"/>
                <w:sz w:val="24"/>
                <w:szCs w:val="24"/>
              </w:rPr>
              <w:t>总</w:t>
            </w:r>
            <w:r>
              <w:rPr>
                <w:rFonts w:eastAsia="宋体"/>
                <w:sz w:val="24"/>
                <w:szCs w:val="24"/>
              </w:rPr>
              <w:t>悬浮颗粒物</w:t>
            </w:r>
          </w:p>
          <w:p>
            <w:pPr>
              <w:pStyle w:val="46"/>
              <w:spacing w:after="0" w:line="520" w:lineRule="exact"/>
              <w:ind w:firstLine="720" w:firstLineChars="300"/>
              <w:rPr>
                <w:rFonts w:eastAsia="宋体"/>
                <w:sz w:val="24"/>
                <w:szCs w:val="24"/>
              </w:rPr>
            </w:pPr>
            <w:r>
              <w:rPr>
                <w:rFonts w:eastAsia="宋体"/>
                <w:sz w:val="24"/>
                <w:szCs w:val="24"/>
              </w:rPr>
              <w:t>表7-</w:t>
            </w:r>
            <w:r>
              <w:rPr>
                <w:rFonts w:hint="eastAsia" w:eastAsia="宋体"/>
                <w:sz w:val="24"/>
                <w:szCs w:val="24"/>
              </w:rPr>
              <w:t>1</w:t>
            </w:r>
            <w:r>
              <w:rPr>
                <w:rFonts w:eastAsia="宋体"/>
                <w:sz w:val="24"/>
                <w:szCs w:val="24"/>
              </w:rPr>
              <w:t>结果显示，无组织总悬浮颗粒物满足《大气污染物综合排放标准》（GB16297-1996）表2标准限值要求。</w:t>
            </w:r>
          </w:p>
          <w:p>
            <w:pPr>
              <w:pStyle w:val="46"/>
              <w:numPr>
                <w:ilvl w:val="0"/>
                <w:numId w:val="6"/>
              </w:numPr>
              <w:spacing w:after="0" w:line="520" w:lineRule="exact"/>
              <w:ind w:firstLine="480"/>
              <w:rPr>
                <w:rFonts w:eastAsia="宋体"/>
                <w:sz w:val="24"/>
                <w:szCs w:val="24"/>
              </w:rPr>
            </w:pPr>
            <w:r>
              <w:rPr>
                <w:rFonts w:eastAsia="宋体"/>
                <w:sz w:val="24"/>
                <w:szCs w:val="24"/>
              </w:rPr>
              <w:t>无组织非甲烷总烃</w:t>
            </w:r>
          </w:p>
          <w:p>
            <w:pPr>
              <w:pStyle w:val="46"/>
              <w:spacing w:after="0" w:line="520" w:lineRule="exact"/>
              <w:ind w:left="440" w:leftChars="200" w:firstLine="240" w:firstLineChars="100"/>
              <w:rPr>
                <w:rFonts w:eastAsia="宋体"/>
                <w:sz w:val="24"/>
                <w:szCs w:val="24"/>
              </w:rPr>
            </w:pPr>
            <w:r>
              <w:rPr>
                <w:rFonts w:eastAsia="宋体"/>
                <w:sz w:val="24"/>
                <w:szCs w:val="24"/>
              </w:rPr>
              <w:t>表7-</w:t>
            </w:r>
            <w:r>
              <w:rPr>
                <w:rFonts w:hint="eastAsia" w:eastAsia="宋体"/>
                <w:sz w:val="24"/>
                <w:szCs w:val="24"/>
              </w:rPr>
              <w:t>2</w:t>
            </w:r>
            <w:r>
              <w:rPr>
                <w:rFonts w:eastAsia="宋体"/>
                <w:sz w:val="24"/>
                <w:szCs w:val="24"/>
              </w:rPr>
              <w:t>结果显示，无组织废气非甲烷总烃满足《大气污染物综合排放标准》（GB16297-1996）表2标准限值要求。</w:t>
            </w:r>
          </w:p>
          <w:p>
            <w:pPr>
              <w:pStyle w:val="46"/>
              <w:spacing w:after="0" w:line="520" w:lineRule="exact"/>
              <w:ind w:left="440" w:leftChars="200" w:firstLine="0" w:firstLineChars="0"/>
              <w:rPr>
                <w:rFonts w:eastAsia="宋体"/>
                <w:sz w:val="24"/>
                <w:szCs w:val="24"/>
              </w:rPr>
            </w:pPr>
            <w:r>
              <w:rPr>
                <w:rFonts w:hint="eastAsia" w:eastAsia="宋体"/>
                <w:sz w:val="24"/>
                <w:szCs w:val="24"/>
              </w:rPr>
              <w:t>（3）</w:t>
            </w:r>
            <w:r>
              <w:rPr>
                <w:rFonts w:eastAsia="宋体"/>
                <w:sz w:val="24"/>
                <w:szCs w:val="24"/>
              </w:rPr>
              <w:t>厂界噪声</w:t>
            </w:r>
          </w:p>
          <w:p>
            <w:pPr>
              <w:pStyle w:val="46"/>
              <w:spacing w:after="0" w:line="520" w:lineRule="exact"/>
              <w:ind w:left="440" w:leftChars="200" w:firstLine="240" w:firstLineChars="100"/>
              <w:rPr>
                <w:rFonts w:eastAsia="宋体"/>
                <w:sz w:val="24"/>
                <w:szCs w:val="24"/>
              </w:rPr>
            </w:pPr>
            <w:r>
              <w:rPr>
                <w:rFonts w:eastAsia="宋体"/>
                <w:sz w:val="24"/>
                <w:szCs w:val="24"/>
              </w:rPr>
              <w:t>表7-</w:t>
            </w:r>
            <w:r>
              <w:rPr>
                <w:rFonts w:hint="eastAsia" w:eastAsia="宋体"/>
                <w:sz w:val="24"/>
                <w:szCs w:val="24"/>
              </w:rPr>
              <w:t>3</w:t>
            </w:r>
            <w:r>
              <w:rPr>
                <w:rFonts w:eastAsia="宋体"/>
                <w:sz w:val="24"/>
                <w:szCs w:val="24"/>
              </w:rPr>
              <w:t>结果显示，项目界边昼间、夜间噪声值满足《工业企业厂界环境噪声排放标准》（GB12348-2008）2类标准限值要求。</w:t>
            </w:r>
          </w:p>
          <w:p>
            <w:pPr>
              <w:pStyle w:val="46"/>
              <w:spacing w:after="0"/>
              <w:ind w:firstLine="482"/>
              <w:rPr>
                <w:rFonts w:ascii="宋体" w:hAnsi="宋体" w:eastAsia="宋体" w:cs="宋体"/>
                <w:b/>
                <w:bCs/>
                <w:sz w:val="24"/>
                <w:szCs w:val="24"/>
              </w:rPr>
            </w:pPr>
            <w:r>
              <w:rPr>
                <w:rFonts w:hint="eastAsia" w:ascii="宋体" w:hAnsi="宋体" w:eastAsia="宋体" w:cs="宋体"/>
                <w:b/>
                <w:bCs/>
                <w:sz w:val="24"/>
                <w:szCs w:val="24"/>
              </w:rPr>
              <w:t>3、工程建设对环境的影响</w:t>
            </w:r>
          </w:p>
          <w:p>
            <w:pPr>
              <w:pStyle w:val="46"/>
              <w:spacing w:after="0" w:line="600" w:lineRule="exact"/>
              <w:ind w:firstLine="480"/>
              <w:rPr>
                <w:rFonts w:eastAsia="宋体"/>
                <w:b/>
                <w:color w:val="000000"/>
                <w:sz w:val="24"/>
                <w:szCs w:val="24"/>
              </w:rPr>
            </w:pPr>
            <w:r>
              <w:rPr>
                <w:rFonts w:eastAsia="宋体"/>
                <w:sz w:val="24"/>
                <w:szCs w:val="24"/>
              </w:rPr>
              <w:t>项目无组织废气总悬浮颗粒物、非甲烷总烃满足《大气污染物综合排放标准》（GB16297-1996）表2标准限值要求；项目周边昼间、夜间噪声值满足《工业企业厂界环境噪声排放标准》（GB12348-2008）2类标准限值要求；</w:t>
            </w:r>
            <w:r>
              <w:rPr>
                <w:rFonts w:hint="eastAsia" w:ascii="宋体" w:hAnsi="宋体" w:eastAsia="宋体" w:cs="宋体"/>
                <w:sz w:val="24"/>
                <w:szCs w:val="24"/>
              </w:rPr>
              <w:t>废水经过化粪池处理后达到《污水综合排放标准》（GB8978-1996）表4中三级标准，汇入污水管网，进入市政污水管网， 排入下五屯污水处理厂</w:t>
            </w:r>
            <w:r>
              <w:rPr>
                <w:rFonts w:eastAsia="宋体"/>
                <w:sz w:val="24"/>
                <w:szCs w:val="24"/>
              </w:rPr>
              <w:t>。故本项目建设对周边环境影响较小。</w:t>
            </w:r>
          </w:p>
          <w:p>
            <w:pPr>
              <w:pStyle w:val="20"/>
              <w:spacing w:after="0"/>
              <w:ind w:firstLine="482"/>
              <w:rPr>
                <w:rFonts w:eastAsia="宋体"/>
                <w:b/>
                <w:bCs/>
                <w:szCs w:val="24"/>
              </w:rPr>
            </w:pPr>
          </w:p>
          <w:p>
            <w:pPr>
              <w:pStyle w:val="20"/>
              <w:ind w:firstLine="0" w:firstLineChars="0"/>
              <w:jc w:val="both"/>
              <w:rPr>
                <w:rFonts w:eastAsia="宋体"/>
                <w:szCs w:val="24"/>
              </w:rPr>
            </w:pPr>
          </w:p>
        </w:tc>
      </w:tr>
    </w:tbl>
    <w:p>
      <w:pPr>
        <w:pStyle w:val="27"/>
        <w:spacing w:before="0" w:beforeAutospacing="0" w:after="0" w:afterAutospacing="0" w:line="360" w:lineRule="exact"/>
        <w:jc w:val="both"/>
        <w:outlineLvl w:val="0"/>
        <w:rPr>
          <w:b/>
          <w:color w:val="000000"/>
          <w:sz w:val="21"/>
          <w:szCs w:val="21"/>
        </w:rPr>
        <w:sectPr>
          <w:pgSz w:w="11906" w:h="16838"/>
          <w:pgMar w:top="1440" w:right="1800" w:bottom="1440" w:left="1800" w:header="708" w:footer="708" w:gutter="0"/>
          <w:cols w:space="720" w:num="1"/>
          <w:docGrid w:linePitch="360" w:charSpace="0"/>
        </w:sectPr>
      </w:pPr>
    </w:p>
    <w:p>
      <w:pPr>
        <w:spacing w:after="0" w:line="300" w:lineRule="exact"/>
        <w:jc w:val="center"/>
        <w:rPr>
          <w:rFonts w:eastAsia="黑体"/>
          <w:b/>
          <w:color w:val="000000"/>
          <w:sz w:val="28"/>
          <w:szCs w:val="28"/>
        </w:rPr>
      </w:pPr>
      <w:bookmarkStart w:id="15" w:name="_Toc21138_WPSOffice_Level1"/>
      <w:bookmarkStart w:id="16" w:name="_Toc21367_WPSOffice_Level2"/>
      <w:r>
        <w:rPr>
          <w:rFonts w:eastAsia="黑体"/>
          <w:b/>
          <w:color w:val="000000"/>
          <w:sz w:val="28"/>
          <w:szCs w:val="28"/>
        </w:rPr>
        <w:t>建设项目竣工环境保护</w:t>
      </w:r>
      <w:r>
        <w:rPr>
          <w:rFonts w:hint="eastAsia" w:eastAsia="黑体"/>
          <w:b/>
          <w:color w:val="000000"/>
          <w:sz w:val="28"/>
          <w:szCs w:val="28"/>
        </w:rPr>
        <w:t>“</w:t>
      </w:r>
      <w:r>
        <w:rPr>
          <w:rFonts w:eastAsia="黑体"/>
          <w:b/>
          <w:color w:val="000000"/>
          <w:sz w:val="28"/>
          <w:szCs w:val="28"/>
        </w:rPr>
        <w:t>三同时</w:t>
      </w:r>
      <w:r>
        <w:rPr>
          <w:rFonts w:hint="eastAsia" w:eastAsia="黑体"/>
          <w:b/>
          <w:color w:val="000000"/>
          <w:sz w:val="28"/>
          <w:szCs w:val="28"/>
        </w:rPr>
        <w:t>”</w:t>
      </w:r>
      <w:r>
        <w:rPr>
          <w:rFonts w:eastAsia="黑体"/>
          <w:b/>
          <w:color w:val="000000"/>
          <w:sz w:val="28"/>
          <w:szCs w:val="28"/>
        </w:rPr>
        <w:t>验收登记表</w:t>
      </w:r>
      <w:bookmarkEnd w:id="15"/>
      <w:bookmarkEnd w:id="16"/>
    </w:p>
    <w:p>
      <w:pPr>
        <w:spacing w:after="0" w:line="300" w:lineRule="exact"/>
        <w:jc w:val="center"/>
        <w:rPr>
          <w:rFonts w:eastAsia="黑体"/>
          <w:b/>
          <w:color w:val="000000"/>
          <w:sz w:val="21"/>
          <w:szCs w:val="21"/>
        </w:rPr>
      </w:pPr>
    </w:p>
    <w:p>
      <w:pPr>
        <w:spacing w:after="0"/>
        <w:rPr>
          <w:rFonts w:ascii="宋体" w:hAnsi="宋体" w:eastAsia="宋体"/>
          <w:b/>
          <w:color w:val="000000"/>
          <w:sz w:val="21"/>
          <w:szCs w:val="21"/>
        </w:rPr>
      </w:pPr>
      <w:bookmarkStart w:id="17" w:name="_Toc29714_WPSOffice_Level1"/>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bookmarkEnd w:id="17"/>
    </w:p>
    <w:tbl>
      <w:tblPr>
        <w:tblStyle w:val="18"/>
        <w:tblW w:w="155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69"/>
        <w:gridCol w:w="430"/>
        <w:gridCol w:w="398"/>
        <w:gridCol w:w="36"/>
        <w:gridCol w:w="394"/>
        <w:gridCol w:w="949"/>
        <w:gridCol w:w="944"/>
        <w:gridCol w:w="1140"/>
        <w:gridCol w:w="6"/>
        <w:gridCol w:w="347"/>
        <w:gridCol w:w="752"/>
        <w:gridCol w:w="775"/>
        <w:gridCol w:w="462"/>
        <w:gridCol w:w="643"/>
        <w:gridCol w:w="446"/>
        <w:gridCol w:w="576"/>
        <w:gridCol w:w="838"/>
        <w:gridCol w:w="668"/>
        <w:gridCol w:w="538"/>
        <w:gridCol w:w="197"/>
        <w:gridCol w:w="1047"/>
        <w:gridCol w:w="265"/>
        <w:gridCol w:w="837"/>
        <w:gridCol w:w="123"/>
        <w:gridCol w:w="9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1796" w:type="dxa"/>
            <w:gridSpan w:val="2"/>
            <w:tcMar>
              <w:left w:w="57" w:type="dxa"/>
              <w:right w:w="57" w:type="dxa"/>
            </w:tcMar>
            <w:vAlign w:val="center"/>
          </w:tcPr>
          <w:p>
            <w:pPr>
              <w:pStyle w:val="47"/>
              <w:spacing w:after="0"/>
              <w:rPr>
                <w:b/>
                <w:color w:val="000000"/>
                <w:kern w:val="2"/>
                <w:sz w:val="15"/>
                <w:szCs w:val="15"/>
              </w:rPr>
            </w:pPr>
            <w:r>
              <w:rPr>
                <w:rFonts w:eastAsia="宋体"/>
                <w:szCs w:val="21"/>
              </w:rPr>
              <w:t>项目名称</w:t>
            </w:r>
          </w:p>
        </w:tc>
        <w:tc>
          <w:tcPr>
            <w:tcW w:w="5396" w:type="dxa"/>
            <w:gridSpan w:val="10"/>
            <w:tcMar>
              <w:left w:w="57" w:type="dxa"/>
              <w:right w:w="57" w:type="dxa"/>
            </w:tcMar>
            <w:vAlign w:val="center"/>
          </w:tcPr>
          <w:p>
            <w:pPr>
              <w:pStyle w:val="47"/>
              <w:spacing w:after="0"/>
              <w:rPr>
                <w:rFonts w:ascii="宋体" w:hAnsi="宋体" w:eastAsia="宋体" w:cs="宋体"/>
                <w:color w:val="000000"/>
                <w:kern w:val="2"/>
                <w:sz w:val="15"/>
                <w:szCs w:val="15"/>
              </w:rPr>
            </w:pPr>
            <w:r>
              <w:rPr>
                <w:rFonts w:hint="eastAsia" w:ascii="宋体" w:hAnsi="宋体" w:eastAsia="宋体" w:cs="宋体"/>
                <w:color w:val="000000"/>
                <w:kern w:val="2"/>
                <w:szCs w:val="21"/>
              </w:rPr>
              <w:t>兴义市苗通外用膏贴生产线建设项目</w:t>
            </w:r>
          </w:p>
        </w:tc>
        <w:tc>
          <w:tcPr>
            <w:tcW w:w="1880" w:type="dxa"/>
            <w:gridSpan w:val="3"/>
            <w:tcMar>
              <w:left w:w="57" w:type="dxa"/>
              <w:right w:w="57" w:type="dxa"/>
            </w:tcMar>
            <w:vAlign w:val="center"/>
          </w:tcPr>
          <w:p>
            <w:pPr>
              <w:pStyle w:val="47"/>
              <w:spacing w:after="0"/>
              <w:rPr>
                <w:b/>
                <w:color w:val="000000"/>
                <w:kern w:val="2"/>
                <w:sz w:val="15"/>
                <w:szCs w:val="15"/>
              </w:rPr>
            </w:pPr>
            <w:r>
              <w:rPr>
                <w:rFonts w:eastAsia="宋体"/>
                <w:szCs w:val="21"/>
              </w:rPr>
              <w:t>项目代码</w:t>
            </w:r>
          </w:p>
        </w:tc>
        <w:tc>
          <w:tcPr>
            <w:tcW w:w="1860" w:type="dxa"/>
            <w:gridSpan w:val="3"/>
            <w:tcMar>
              <w:left w:w="57" w:type="dxa"/>
              <w:right w:w="57" w:type="dxa"/>
            </w:tcMar>
            <w:vAlign w:val="center"/>
          </w:tcPr>
          <w:p>
            <w:pPr>
              <w:pStyle w:val="47"/>
              <w:spacing w:after="0"/>
              <w:rPr>
                <w:rFonts w:ascii="宋体" w:hAnsi="宋体" w:eastAsia="宋体" w:cs="宋体"/>
                <w:color w:val="000000"/>
                <w:kern w:val="2"/>
                <w:sz w:val="15"/>
                <w:szCs w:val="15"/>
              </w:rPr>
            </w:pPr>
          </w:p>
        </w:tc>
        <w:tc>
          <w:tcPr>
            <w:tcW w:w="1403" w:type="dxa"/>
            <w:gridSpan w:val="3"/>
            <w:tcMar>
              <w:left w:w="57" w:type="dxa"/>
              <w:right w:w="57" w:type="dxa"/>
            </w:tcMar>
            <w:vAlign w:val="center"/>
          </w:tcPr>
          <w:p>
            <w:pPr>
              <w:pStyle w:val="47"/>
              <w:spacing w:after="0"/>
              <w:rPr>
                <w:color w:val="000000"/>
                <w:kern w:val="2"/>
                <w:sz w:val="15"/>
                <w:szCs w:val="15"/>
              </w:rPr>
            </w:pPr>
            <w:r>
              <w:rPr>
                <w:rFonts w:eastAsia="宋体"/>
                <w:szCs w:val="21"/>
              </w:rPr>
              <w:t>建设地点</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兴义市洒金村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14"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行业类别（分类管理名录）</w:t>
            </w:r>
          </w:p>
        </w:tc>
        <w:tc>
          <w:tcPr>
            <w:tcW w:w="5396" w:type="dxa"/>
            <w:gridSpan w:val="10"/>
            <w:tcMar>
              <w:left w:w="57" w:type="dxa"/>
              <w:right w:w="57" w:type="dxa"/>
            </w:tcMar>
            <w:vAlign w:val="center"/>
          </w:tcPr>
          <w:p>
            <w:pPr>
              <w:pStyle w:val="47"/>
              <w:spacing w:after="0"/>
              <w:rPr>
                <w:rFonts w:ascii="宋体" w:hAnsi="宋体" w:eastAsia="宋体" w:cs="宋体"/>
                <w:color w:val="000000"/>
                <w:kern w:val="2"/>
                <w:sz w:val="15"/>
                <w:szCs w:val="15"/>
              </w:rPr>
            </w:pPr>
            <w:r>
              <w:rPr>
                <w:rFonts w:hint="eastAsia" w:ascii="宋体" w:hAnsi="宋体" w:eastAsia="宋体" w:cs="宋体"/>
                <w:color w:val="000000"/>
                <w:kern w:val="2"/>
                <w:szCs w:val="21"/>
              </w:rPr>
              <w:t>塑料制品制造</w:t>
            </w:r>
          </w:p>
        </w:tc>
        <w:tc>
          <w:tcPr>
            <w:tcW w:w="1880" w:type="dxa"/>
            <w:gridSpan w:val="3"/>
            <w:tcMar>
              <w:left w:w="57" w:type="dxa"/>
              <w:right w:w="57" w:type="dxa"/>
            </w:tcMar>
            <w:vAlign w:val="center"/>
          </w:tcPr>
          <w:p>
            <w:pPr>
              <w:pStyle w:val="47"/>
              <w:spacing w:after="0"/>
              <w:rPr>
                <w:b/>
                <w:color w:val="000000"/>
                <w:kern w:val="2"/>
                <w:sz w:val="15"/>
                <w:szCs w:val="15"/>
              </w:rPr>
            </w:pPr>
            <w:r>
              <w:rPr>
                <w:rFonts w:eastAsia="宋体"/>
                <w:szCs w:val="21"/>
              </w:rPr>
              <w:t>建设性质</w:t>
            </w:r>
          </w:p>
        </w:tc>
        <w:tc>
          <w:tcPr>
            <w:tcW w:w="3263" w:type="dxa"/>
            <w:gridSpan w:val="6"/>
            <w:tcMar>
              <w:left w:w="57" w:type="dxa"/>
              <w:right w:w="57" w:type="dxa"/>
            </w:tcMar>
            <w:vAlign w:val="center"/>
          </w:tcPr>
          <w:p>
            <w:pPr>
              <w:pStyle w:val="47"/>
              <w:spacing w:after="0"/>
              <w:rPr>
                <w:color w:val="000000"/>
                <w:kern w:val="2"/>
                <w:sz w:val="15"/>
                <w:szCs w:val="15"/>
              </w:rPr>
            </w:pPr>
            <w:r>
              <w:rPr>
                <w:rFonts w:eastAsia="宋体"/>
                <w:szCs w:val="21"/>
              </w:rPr>
              <w:t>☑新建  □ 改扩建  □技术改造</w:t>
            </w:r>
          </w:p>
        </w:tc>
        <w:tc>
          <w:tcPr>
            <w:tcW w:w="1312" w:type="dxa"/>
            <w:gridSpan w:val="2"/>
            <w:tcMar>
              <w:left w:w="57" w:type="dxa"/>
              <w:right w:w="57" w:type="dxa"/>
            </w:tcMar>
            <w:vAlign w:val="center"/>
          </w:tcPr>
          <w:p>
            <w:pPr>
              <w:pStyle w:val="47"/>
              <w:spacing w:after="0"/>
              <w:rPr>
                <w:b/>
                <w:color w:val="000000"/>
                <w:kern w:val="2"/>
                <w:sz w:val="18"/>
                <w:szCs w:val="18"/>
              </w:rPr>
            </w:pPr>
            <w:r>
              <w:rPr>
                <w:rFonts w:eastAsia="宋体"/>
                <w:szCs w:val="21"/>
              </w:rPr>
              <w:t>项目厂区中心经度/纬度</w:t>
            </w:r>
          </w:p>
        </w:tc>
        <w:tc>
          <w:tcPr>
            <w:tcW w:w="1871" w:type="dxa"/>
            <w:gridSpan w:val="3"/>
            <w:tcMar>
              <w:left w:w="57" w:type="dxa"/>
              <w:right w:w="57" w:type="dxa"/>
            </w:tcMar>
            <w:vAlign w:val="center"/>
          </w:tcPr>
          <w:p>
            <w:pPr>
              <w:pStyle w:val="47"/>
              <w:spacing w:after="0"/>
              <w:rPr>
                <w:rFonts w:eastAsia="宋体"/>
                <w:sz w:val="18"/>
                <w:szCs w:val="18"/>
              </w:rPr>
            </w:pPr>
            <w:r>
              <w:rPr>
                <w:rFonts w:hint="eastAsia"/>
                <w:color w:val="000000"/>
                <w:kern w:val="2"/>
                <w:sz w:val="18"/>
                <w:szCs w:val="18"/>
              </w:rPr>
              <w:t>E:</w:t>
            </w:r>
            <w:r>
              <w:rPr>
                <w:rFonts w:hint="eastAsia" w:eastAsia="宋体"/>
                <w:sz w:val="18"/>
                <w:szCs w:val="18"/>
              </w:rPr>
              <w:t>104.853618</w:t>
            </w:r>
          </w:p>
          <w:p>
            <w:pPr>
              <w:pStyle w:val="47"/>
              <w:spacing w:after="0"/>
              <w:rPr>
                <w:rFonts w:eastAsia="宋体"/>
                <w:sz w:val="18"/>
                <w:szCs w:val="18"/>
              </w:rPr>
            </w:pPr>
            <w:r>
              <w:rPr>
                <w:rFonts w:hint="eastAsia" w:eastAsia="宋体"/>
                <w:sz w:val="18"/>
                <w:szCs w:val="18"/>
              </w:rPr>
              <w:t>N:25.071412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设计生产能力</w:t>
            </w:r>
          </w:p>
        </w:tc>
        <w:tc>
          <w:tcPr>
            <w:tcW w:w="5396" w:type="dxa"/>
            <w:gridSpan w:val="10"/>
            <w:tcMar>
              <w:left w:w="57" w:type="dxa"/>
              <w:right w:w="57" w:type="dxa"/>
            </w:tcMar>
            <w:vAlign w:val="center"/>
          </w:tcPr>
          <w:p>
            <w:pPr>
              <w:pStyle w:val="47"/>
              <w:spacing w:after="0"/>
              <w:rPr>
                <w:rFonts w:ascii="宋体" w:hAnsi="宋体" w:eastAsia="宋体" w:cs="宋体"/>
                <w:color w:val="000000"/>
                <w:kern w:val="2"/>
                <w:sz w:val="15"/>
                <w:szCs w:val="15"/>
              </w:rPr>
            </w:pPr>
            <w:r>
              <w:rPr>
                <w:rFonts w:hint="eastAsia" w:ascii="宋体" w:hAnsi="宋体" w:eastAsia="宋体" w:cs="宋体"/>
                <w:color w:val="000000"/>
                <w:kern w:val="2"/>
                <w:szCs w:val="21"/>
              </w:rPr>
              <w:t>年产6500件外贴膏</w:t>
            </w:r>
          </w:p>
        </w:tc>
        <w:tc>
          <w:tcPr>
            <w:tcW w:w="1880" w:type="dxa"/>
            <w:gridSpan w:val="3"/>
            <w:tcMar>
              <w:left w:w="57" w:type="dxa"/>
              <w:right w:w="57" w:type="dxa"/>
            </w:tcMar>
            <w:vAlign w:val="center"/>
          </w:tcPr>
          <w:p>
            <w:pPr>
              <w:pStyle w:val="47"/>
              <w:spacing w:after="0"/>
              <w:rPr>
                <w:color w:val="000000"/>
                <w:kern w:val="2"/>
                <w:sz w:val="15"/>
                <w:szCs w:val="15"/>
              </w:rPr>
            </w:pPr>
            <w:r>
              <w:rPr>
                <w:rFonts w:eastAsia="宋体"/>
                <w:szCs w:val="21"/>
              </w:rPr>
              <w:t>实际生产能力</w:t>
            </w:r>
          </w:p>
        </w:tc>
        <w:tc>
          <w:tcPr>
            <w:tcW w:w="1860" w:type="dxa"/>
            <w:gridSpan w:val="3"/>
            <w:tcMar>
              <w:left w:w="57" w:type="dxa"/>
              <w:right w:w="57" w:type="dxa"/>
            </w:tcMar>
            <w:vAlign w:val="center"/>
          </w:tcPr>
          <w:p>
            <w:pPr>
              <w:pStyle w:val="47"/>
              <w:spacing w:after="0"/>
              <w:rPr>
                <w:rFonts w:ascii="宋体" w:hAnsi="宋体" w:eastAsia="宋体" w:cs="宋体"/>
                <w:color w:val="000000"/>
                <w:kern w:val="2"/>
                <w:szCs w:val="21"/>
              </w:rPr>
            </w:pPr>
            <w:r>
              <w:rPr>
                <w:rFonts w:hint="eastAsia" w:ascii="宋体" w:hAnsi="宋体" w:eastAsia="宋体" w:cs="宋体"/>
                <w:color w:val="000000"/>
                <w:kern w:val="2"/>
                <w:szCs w:val="21"/>
              </w:rPr>
              <w:t>年产6500件</w:t>
            </w:r>
          </w:p>
          <w:p>
            <w:pPr>
              <w:pStyle w:val="47"/>
              <w:spacing w:after="0"/>
              <w:rPr>
                <w:b/>
                <w:color w:val="000000"/>
                <w:kern w:val="2"/>
                <w:sz w:val="18"/>
                <w:szCs w:val="18"/>
              </w:rPr>
            </w:pPr>
            <w:r>
              <w:rPr>
                <w:rFonts w:hint="eastAsia" w:ascii="宋体" w:hAnsi="宋体" w:eastAsia="宋体" w:cs="宋体"/>
                <w:color w:val="000000"/>
                <w:kern w:val="2"/>
                <w:szCs w:val="21"/>
              </w:rPr>
              <w:t>外贴膏</w:t>
            </w:r>
          </w:p>
        </w:tc>
        <w:tc>
          <w:tcPr>
            <w:tcW w:w="1403" w:type="dxa"/>
            <w:gridSpan w:val="3"/>
            <w:tcMar>
              <w:left w:w="57" w:type="dxa"/>
              <w:right w:w="57" w:type="dxa"/>
            </w:tcMar>
            <w:vAlign w:val="center"/>
          </w:tcPr>
          <w:p>
            <w:pPr>
              <w:pStyle w:val="47"/>
              <w:spacing w:after="0"/>
              <w:rPr>
                <w:color w:val="000000"/>
                <w:kern w:val="2"/>
                <w:sz w:val="15"/>
                <w:szCs w:val="15"/>
              </w:rPr>
            </w:pPr>
            <w:r>
              <w:rPr>
                <w:rFonts w:eastAsia="宋体"/>
                <w:szCs w:val="21"/>
              </w:rPr>
              <w:t>环评单位</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贵州绿宏环保科技有限公司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环评文件审批机关</w:t>
            </w:r>
          </w:p>
        </w:tc>
        <w:tc>
          <w:tcPr>
            <w:tcW w:w="5396" w:type="dxa"/>
            <w:gridSpan w:val="10"/>
            <w:tcMar>
              <w:left w:w="57" w:type="dxa"/>
              <w:right w:w="57" w:type="dxa"/>
            </w:tcMar>
            <w:vAlign w:val="center"/>
          </w:tcPr>
          <w:p>
            <w:pPr>
              <w:pStyle w:val="47"/>
              <w:spacing w:after="0"/>
              <w:rPr>
                <w:rFonts w:ascii="宋体" w:hAnsi="宋体" w:eastAsia="宋体" w:cs="宋体"/>
                <w:color w:val="000000"/>
                <w:kern w:val="2"/>
                <w:sz w:val="15"/>
                <w:szCs w:val="15"/>
              </w:rPr>
            </w:pPr>
            <w:r>
              <w:rPr>
                <w:rFonts w:hint="eastAsia" w:ascii="宋体" w:hAnsi="宋体" w:eastAsia="宋体" w:cs="宋体"/>
                <w:color w:val="000000"/>
                <w:kern w:val="2"/>
                <w:szCs w:val="21"/>
              </w:rPr>
              <w:t>黔西南州环境保护局</w:t>
            </w:r>
          </w:p>
        </w:tc>
        <w:tc>
          <w:tcPr>
            <w:tcW w:w="1880" w:type="dxa"/>
            <w:gridSpan w:val="3"/>
            <w:tcMar>
              <w:left w:w="57" w:type="dxa"/>
              <w:right w:w="57" w:type="dxa"/>
            </w:tcMar>
            <w:vAlign w:val="center"/>
          </w:tcPr>
          <w:p>
            <w:pPr>
              <w:pStyle w:val="47"/>
              <w:spacing w:after="0"/>
              <w:rPr>
                <w:b/>
                <w:color w:val="000000"/>
                <w:kern w:val="2"/>
                <w:sz w:val="15"/>
                <w:szCs w:val="15"/>
              </w:rPr>
            </w:pPr>
            <w:r>
              <w:rPr>
                <w:rFonts w:eastAsia="宋体"/>
                <w:szCs w:val="21"/>
              </w:rPr>
              <w:t>审批文号</w:t>
            </w:r>
          </w:p>
        </w:tc>
        <w:tc>
          <w:tcPr>
            <w:tcW w:w="1860" w:type="dxa"/>
            <w:gridSpan w:val="3"/>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州环核</w:t>
            </w:r>
            <w:r>
              <w:rPr>
                <w:rFonts w:eastAsia="宋体"/>
                <w:color w:val="000000"/>
                <w:kern w:val="2"/>
                <w:szCs w:val="21"/>
              </w:rPr>
              <w:t>[2018]</w:t>
            </w:r>
            <w:r>
              <w:rPr>
                <w:rFonts w:hint="eastAsia" w:eastAsia="宋体"/>
                <w:color w:val="000000"/>
                <w:kern w:val="2"/>
                <w:szCs w:val="21"/>
              </w:rPr>
              <w:t>08</w:t>
            </w:r>
            <w:r>
              <w:rPr>
                <w:rFonts w:hint="eastAsia" w:ascii="宋体" w:hAnsi="宋体" w:eastAsia="宋体" w:cs="宋体"/>
                <w:color w:val="000000"/>
                <w:kern w:val="2"/>
                <w:szCs w:val="21"/>
              </w:rPr>
              <w:t>号</w:t>
            </w:r>
          </w:p>
        </w:tc>
        <w:tc>
          <w:tcPr>
            <w:tcW w:w="1403" w:type="dxa"/>
            <w:gridSpan w:val="3"/>
            <w:tcMar>
              <w:left w:w="57" w:type="dxa"/>
              <w:right w:w="57" w:type="dxa"/>
            </w:tcMar>
            <w:vAlign w:val="center"/>
          </w:tcPr>
          <w:p>
            <w:pPr>
              <w:pStyle w:val="47"/>
              <w:spacing w:after="0"/>
              <w:rPr>
                <w:b/>
                <w:color w:val="000000"/>
                <w:kern w:val="2"/>
                <w:sz w:val="15"/>
                <w:szCs w:val="15"/>
              </w:rPr>
            </w:pPr>
            <w:r>
              <w:rPr>
                <w:rFonts w:eastAsia="宋体"/>
                <w:szCs w:val="21"/>
              </w:rPr>
              <w:t>环评文件类型</w:t>
            </w:r>
          </w:p>
        </w:tc>
        <w:tc>
          <w:tcPr>
            <w:tcW w:w="3183" w:type="dxa"/>
            <w:gridSpan w:val="5"/>
            <w:tcMar>
              <w:left w:w="57" w:type="dxa"/>
              <w:right w:w="57" w:type="dxa"/>
            </w:tcMar>
            <w:vAlign w:val="center"/>
          </w:tcPr>
          <w:p>
            <w:pPr>
              <w:pStyle w:val="47"/>
              <w:spacing w:after="0"/>
              <w:rPr>
                <w:color w:val="000000"/>
                <w:kern w:val="2"/>
                <w:sz w:val="15"/>
                <w:szCs w:val="15"/>
              </w:rPr>
            </w:pPr>
            <w:r>
              <w:rPr>
                <w:rFonts w:eastAsia="宋体"/>
                <w:szCs w:val="21"/>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开工日期</w:t>
            </w:r>
          </w:p>
        </w:tc>
        <w:tc>
          <w:tcPr>
            <w:tcW w:w="5396" w:type="dxa"/>
            <w:gridSpan w:val="10"/>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2018年8月</w:t>
            </w:r>
          </w:p>
        </w:tc>
        <w:tc>
          <w:tcPr>
            <w:tcW w:w="1880" w:type="dxa"/>
            <w:gridSpan w:val="3"/>
            <w:tcMar>
              <w:left w:w="57" w:type="dxa"/>
              <w:right w:w="57" w:type="dxa"/>
            </w:tcMar>
            <w:vAlign w:val="center"/>
          </w:tcPr>
          <w:p>
            <w:pPr>
              <w:pStyle w:val="47"/>
              <w:spacing w:after="0"/>
              <w:rPr>
                <w:b/>
                <w:color w:val="000000"/>
                <w:kern w:val="2"/>
                <w:sz w:val="15"/>
                <w:szCs w:val="15"/>
              </w:rPr>
            </w:pPr>
            <w:r>
              <w:rPr>
                <w:rFonts w:eastAsia="宋体"/>
                <w:szCs w:val="21"/>
              </w:rPr>
              <w:t>竣工日期</w:t>
            </w:r>
          </w:p>
        </w:tc>
        <w:tc>
          <w:tcPr>
            <w:tcW w:w="1860" w:type="dxa"/>
            <w:gridSpan w:val="3"/>
            <w:tcMar>
              <w:left w:w="57" w:type="dxa"/>
              <w:right w:w="57" w:type="dxa"/>
            </w:tcMar>
            <w:vAlign w:val="center"/>
          </w:tcPr>
          <w:p>
            <w:pPr>
              <w:pStyle w:val="47"/>
              <w:spacing w:after="0"/>
              <w:rPr>
                <w:rFonts w:eastAsia="宋体"/>
                <w:color w:val="000000"/>
                <w:kern w:val="2"/>
                <w:sz w:val="15"/>
                <w:szCs w:val="15"/>
              </w:rPr>
            </w:pPr>
            <w:r>
              <w:rPr>
                <w:rFonts w:hint="eastAsia" w:eastAsia="宋体"/>
                <w:color w:val="000000"/>
                <w:kern w:val="2"/>
                <w:szCs w:val="21"/>
              </w:rPr>
              <w:t>2018年10月</w:t>
            </w:r>
          </w:p>
        </w:tc>
        <w:tc>
          <w:tcPr>
            <w:tcW w:w="1403" w:type="dxa"/>
            <w:gridSpan w:val="3"/>
            <w:tcMar>
              <w:left w:w="57" w:type="dxa"/>
              <w:right w:w="57" w:type="dxa"/>
            </w:tcMar>
            <w:vAlign w:val="center"/>
          </w:tcPr>
          <w:p>
            <w:pPr>
              <w:pStyle w:val="47"/>
              <w:spacing w:after="0"/>
              <w:rPr>
                <w:b/>
                <w:color w:val="000000"/>
                <w:kern w:val="2"/>
                <w:sz w:val="15"/>
                <w:szCs w:val="15"/>
              </w:rPr>
            </w:pPr>
            <w:r>
              <w:rPr>
                <w:rFonts w:eastAsia="宋体"/>
                <w:szCs w:val="21"/>
              </w:rPr>
              <w:t>排污许可证申领时间</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环保设施设计单位</w:t>
            </w:r>
          </w:p>
        </w:tc>
        <w:tc>
          <w:tcPr>
            <w:tcW w:w="5396" w:type="dxa"/>
            <w:gridSpan w:val="10"/>
            <w:tcMar>
              <w:left w:w="57" w:type="dxa"/>
              <w:right w:w="57" w:type="dxa"/>
            </w:tcMar>
            <w:vAlign w:val="center"/>
          </w:tcPr>
          <w:p>
            <w:pPr>
              <w:pStyle w:val="47"/>
              <w:spacing w:after="0"/>
              <w:rPr>
                <w:b/>
                <w:color w:val="000000"/>
                <w:sz w:val="15"/>
                <w:szCs w:val="15"/>
              </w:rPr>
            </w:pPr>
            <w:r>
              <w:rPr>
                <w:rFonts w:hint="eastAsia" w:eastAsia="宋体"/>
                <w:szCs w:val="21"/>
              </w:rPr>
              <w:t>贵州苗通生物医药开发有限公司</w:t>
            </w:r>
          </w:p>
        </w:tc>
        <w:tc>
          <w:tcPr>
            <w:tcW w:w="1880" w:type="dxa"/>
            <w:gridSpan w:val="3"/>
            <w:tcMar>
              <w:left w:w="57" w:type="dxa"/>
              <w:right w:w="57" w:type="dxa"/>
            </w:tcMar>
            <w:vAlign w:val="center"/>
          </w:tcPr>
          <w:p>
            <w:pPr>
              <w:pStyle w:val="47"/>
              <w:spacing w:after="0"/>
              <w:rPr>
                <w:b/>
                <w:color w:val="000000"/>
                <w:sz w:val="15"/>
                <w:szCs w:val="15"/>
              </w:rPr>
            </w:pPr>
            <w:r>
              <w:rPr>
                <w:rFonts w:eastAsia="宋体"/>
                <w:szCs w:val="21"/>
              </w:rPr>
              <w:t>环保设施施工单位</w:t>
            </w:r>
          </w:p>
        </w:tc>
        <w:tc>
          <w:tcPr>
            <w:tcW w:w="1860" w:type="dxa"/>
            <w:gridSpan w:val="3"/>
            <w:tcMar>
              <w:left w:w="57" w:type="dxa"/>
              <w:right w:w="57" w:type="dxa"/>
            </w:tcMar>
            <w:vAlign w:val="center"/>
          </w:tcPr>
          <w:p>
            <w:pPr>
              <w:pStyle w:val="47"/>
              <w:spacing w:after="0"/>
              <w:rPr>
                <w:color w:val="000000"/>
                <w:kern w:val="2"/>
                <w:sz w:val="15"/>
                <w:szCs w:val="15"/>
              </w:rPr>
            </w:pPr>
            <w:r>
              <w:rPr>
                <w:rFonts w:hint="eastAsia" w:eastAsia="宋体"/>
                <w:szCs w:val="21"/>
              </w:rPr>
              <w:t>贵州苗通生物医药开发有限公司</w:t>
            </w:r>
          </w:p>
        </w:tc>
        <w:tc>
          <w:tcPr>
            <w:tcW w:w="1403" w:type="dxa"/>
            <w:gridSpan w:val="3"/>
            <w:tcMar>
              <w:left w:w="57" w:type="dxa"/>
              <w:right w:w="57" w:type="dxa"/>
            </w:tcMar>
            <w:vAlign w:val="center"/>
          </w:tcPr>
          <w:p>
            <w:pPr>
              <w:pStyle w:val="47"/>
              <w:spacing w:after="0"/>
              <w:rPr>
                <w:b/>
                <w:color w:val="000000"/>
                <w:kern w:val="2"/>
                <w:sz w:val="15"/>
                <w:szCs w:val="15"/>
              </w:rPr>
            </w:pPr>
            <w:r>
              <w:rPr>
                <w:rFonts w:eastAsia="宋体"/>
                <w:szCs w:val="21"/>
              </w:rPr>
              <w:t>本工程排污许可证编号</w:t>
            </w:r>
          </w:p>
        </w:tc>
        <w:tc>
          <w:tcPr>
            <w:tcW w:w="3183" w:type="dxa"/>
            <w:gridSpan w:val="5"/>
            <w:tcMar>
              <w:left w:w="57" w:type="dxa"/>
              <w:right w:w="57" w:type="dxa"/>
            </w:tcMar>
            <w:vAlign w:val="center"/>
          </w:tcPr>
          <w:p>
            <w:pPr>
              <w:pStyle w:val="47"/>
              <w:spacing w:after="0"/>
              <w:rPr>
                <w:rFonts w:eastAsia="宋体"/>
                <w:color w:val="000000"/>
                <w:kern w:val="2"/>
                <w:sz w:val="15"/>
                <w:szCs w:val="15"/>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验收单位</w:t>
            </w:r>
          </w:p>
        </w:tc>
        <w:tc>
          <w:tcPr>
            <w:tcW w:w="5396" w:type="dxa"/>
            <w:gridSpan w:val="10"/>
            <w:tcMar>
              <w:left w:w="57" w:type="dxa"/>
              <w:right w:w="57" w:type="dxa"/>
            </w:tcMar>
            <w:vAlign w:val="center"/>
          </w:tcPr>
          <w:p>
            <w:pPr>
              <w:pStyle w:val="47"/>
              <w:spacing w:after="0"/>
              <w:rPr>
                <w:b/>
                <w:color w:val="000000"/>
                <w:kern w:val="2"/>
                <w:sz w:val="15"/>
                <w:szCs w:val="15"/>
              </w:rPr>
            </w:pPr>
            <w:r>
              <w:rPr>
                <w:rFonts w:hint="eastAsia" w:eastAsia="宋体"/>
                <w:szCs w:val="21"/>
              </w:rPr>
              <w:t>贵州苗通生物医药开发有限公司</w:t>
            </w:r>
          </w:p>
        </w:tc>
        <w:tc>
          <w:tcPr>
            <w:tcW w:w="1880" w:type="dxa"/>
            <w:gridSpan w:val="3"/>
            <w:tcMar>
              <w:left w:w="57" w:type="dxa"/>
              <w:right w:w="57" w:type="dxa"/>
            </w:tcMar>
            <w:vAlign w:val="center"/>
          </w:tcPr>
          <w:p>
            <w:pPr>
              <w:pStyle w:val="47"/>
              <w:spacing w:after="0"/>
              <w:rPr>
                <w:b/>
                <w:color w:val="000000"/>
                <w:kern w:val="2"/>
                <w:sz w:val="15"/>
                <w:szCs w:val="15"/>
              </w:rPr>
            </w:pPr>
            <w:r>
              <w:rPr>
                <w:rFonts w:eastAsia="宋体"/>
                <w:szCs w:val="21"/>
              </w:rPr>
              <w:t>环保设施监测单位</w:t>
            </w:r>
          </w:p>
        </w:tc>
        <w:tc>
          <w:tcPr>
            <w:tcW w:w="1860" w:type="dxa"/>
            <w:gridSpan w:val="3"/>
            <w:tcMar>
              <w:left w:w="57" w:type="dxa"/>
              <w:right w:w="57" w:type="dxa"/>
            </w:tcMar>
            <w:vAlign w:val="center"/>
          </w:tcPr>
          <w:p>
            <w:pPr>
              <w:pStyle w:val="47"/>
              <w:spacing w:after="0"/>
              <w:rPr>
                <w:color w:val="000000"/>
                <w:kern w:val="2"/>
                <w:sz w:val="15"/>
                <w:szCs w:val="15"/>
              </w:rPr>
            </w:pPr>
            <w:r>
              <w:rPr>
                <w:rFonts w:eastAsia="宋体"/>
                <w:szCs w:val="21"/>
              </w:rPr>
              <w:t>贵州省洪鑫环境检测服务有限公司</w:t>
            </w:r>
          </w:p>
        </w:tc>
        <w:tc>
          <w:tcPr>
            <w:tcW w:w="1403" w:type="dxa"/>
            <w:gridSpan w:val="3"/>
            <w:tcMar>
              <w:left w:w="57" w:type="dxa"/>
              <w:right w:w="57" w:type="dxa"/>
            </w:tcMar>
            <w:vAlign w:val="center"/>
          </w:tcPr>
          <w:p>
            <w:pPr>
              <w:pStyle w:val="47"/>
              <w:spacing w:after="0"/>
              <w:rPr>
                <w:rFonts w:eastAsia="宋体"/>
                <w:szCs w:val="21"/>
              </w:rPr>
            </w:pPr>
            <w:r>
              <w:rPr>
                <w:rFonts w:eastAsia="宋体"/>
                <w:szCs w:val="21"/>
              </w:rPr>
              <w:t>验收监测</w:t>
            </w:r>
          </w:p>
          <w:p>
            <w:pPr>
              <w:pStyle w:val="47"/>
              <w:spacing w:after="0"/>
              <w:rPr>
                <w:b/>
                <w:color w:val="000000"/>
                <w:kern w:val="2"/>
                <w:sz w:val="15"/>
                <w:szCs w:val="15"/>
              </w:rPr>
            </w:pPr>
            <w:r>
              <w:rPr>
                <w:rFonts w:eastAsia="宋体"/>
                <w:szCs w:val="21"/>
              </w:rPr>
              <w:t>时工况</w:t>
            </w:r>
          </w:p>
        </w:tc>
        <w:tc>
          <w:tcPr>
            <w:tcW w:w="3183" w:type="dxa"/>
            <w:gridSpan w:val="5"/>
            <w:tcMar>
              <w:left w:w="57" w:type="dxa"/>
              <w:right w:w="57" w:type="dxa"/>
            </w:tcMar>
            <w:vAlign w:val="center"/>
          </w:tcPr>
          <w:p>
            <w:pPr>
              <w:pStyle w:val="47"/>
              <w:spacing w:after="0"/>
              <w:rPr>
                <w:color w:val="000000"/>
                <w:kern w:val="2"/>
                <w:szCs w:val="21"/>
              </w:rPr>
            </w:pPr>
            <w:r>
              <w:rPr>
                <w:rFonts w:hint="eastAsia"/>
                <w:color w:val="000000"/>
                <w:kern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rFonts w:eastAsia="宋体"/>
                <w:szCs w:val="21"/>
              </w:rPr>
            </w:pPr>
            <w:r>
              <w:rPr>
                <w:rFonts w:eastAsia="宋体"/>
                <w:szCs w:val="21"/>
              </w:rPr>
              <w:t>投资总概算</w:t>
            </w:r>
          </w:p>
          <w:p>
            <w:pPr>
              <w:pStyle w:val="47"/>
              <w:spacing w:after="0"/>
              <w:rPr>
                <w:color w:val="000000"/>
                <w:kern w:val="2"/>
                <w:sz w:val="15"/>
                <w:szCs w:val="15"/>
              </w:rPr>
            </w:pPr>
            <w:r>
              <w:rPr>
                <w:rFonts w:eastAsia="宋体"/>
                <w:szCs w:val="21"/>
              </w:rPr>
              <w:t>（万元）</w:t>
            </w:r>
          </w:p>
        </w:tc>
        <w:tc>
          <w:tcPr>
            <w:tcW w:w="5396" w:type="dxa"/>
            <w:gridSpan w:val="10"/>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Times New Roman" w:hAnsi="Times New Roman"/>
                <w:bCs/>
                <w:color w:val="000000"/>
                <w:kern w:val="2"/>
                <w:sz w:val="21"/>
                <w:szCs w:val="21"/>
              </w:rPr>
              <w:t>339</w:t>
            </w:r>
          </w:p>
        </w:tc>
        <w:tc>
          <w:tcPr>
            <w:tcW w:w="1880" w:type="dxa"/>
            <w:gridSpan w:val="3"/>
            <w:tcMar>
              <w:left w:w="57" w:type="dxa"/>
              <w:right w:w="57" w:type="dxa"/>
            </w:tcMar>
            <w:vAlign w:val="center"/>
          </w:tcPr>
          <w:p>
            <w:pPr>
              <w:pStyle w:val="47"/>
              <w:spacing w:after="0"/>
              <w:rPr>
                <w:rFonts w:eastAsia="宋体"/>
                <w:szCs w:val="21"/>
              </w:rPr>
            </w:pPr>
            <w:r>
              <w:rPr>
                <w:rFonts w:eastAsia="宋体"/>
                <w:szCs w:val="21"/>
              </w:rPr>
              <w:t>环保投资总概算</w:t>
            </w:r>
          </w:p>
          <w:p>
            <w:pPr>
              <w:pStyle w:val="47"/>
              <w:spacing w:after="0"/>
              <w:rPr>
                <w:color w:val="000000"/>
                <w:kern w:val="2"/>
                <w:sz w:val="15"/>
                <w:szCs w:val="15"/>
              </w:rPr>
            </w:pPr>
            <w:r>
              <w:rPr>
                <w:rFonts w:eastAsia="宋体"/>
                <w:szCs w:val="21"/>
              </w:rPr>
              <w:t>（万元）</w:t>
            </w:r>
          </w:p>
        </w:tc>
        <w:tc>
          <w:tcPr>
            <w:tcW w:w="1860" w:type="dxa"/>
            <w:gridSpan w:val="3"/>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Times New Roman" w:hAnsi="Times New Roman"/>
                <w:bCs/>
                <w:color w:val="000000"/>
                <w:kern w:val="2"/>
                <w:sz w:val="21"/>
                <w:szCs w:val="21"/>
              </w:rPr>
              <w:t>8.2</w:t>
            </w:r>
          </w:p>
        </w:tc>
        <w:tc>
          <w:tcPr>
            <w:tcW w:w="1403" w:type="dxa"/>
            <w:gridSpan w:val="3"/>
            <w:tcMar>
              <w:left w:w="57" w:type="dxa"/>
              <w:right w:w="57" w:type="dxa"/>
            </w:tcMar>
            <w:vAlign w:val="center"/>
          </w:tcPr>
          <w:p>
            <w:pPr>
              <w:pStyle w:val="47"/>
              <w:spacing w:after="0"/>
              <w:rPr>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7"/>
              <w:spacing w:after="0"/>
              <w:rPr>
                <w:color w:val="000000"/>
                <w:kern w:val="2"/>
                <w:szCs w:val="21"/>
              </w:rPr>
            </w:pPr>
            <w:r>
              <w:rPr>
                <w:rFonts w:hint="eastAsia"/>
                <w:color w:val="000000"/>
                <w:kern w:val="2"/>
                <w:szCs w:val="21"/>
              </w:rPr>
              <w:t>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实际总投资</w:t>
            </w:r>
          </w:p>
        </w:tc>
        <w:tc>
          <w:tcPr>
            <w:tcW w:w="5396" w:type="dxa"/>
            <w:gridSpan w:val="10"/>
            <w:tcMar>
              <w:left w:w="57" w:type="dxa"/>
              <w:right w:w="57" w:type="dxa"/>
            </w:tcMar>
            <w:vAlign w:val="center"/>
          </w:tcPr>
          <w:p>
            <w:pPr>
              <w:spacing w:after="0"/>
              <w:jc w:val="center"/>
              <w:rPr>
                <w:rFonts w:ascii="Times New Roman" w:hAnsi="Times New Roman"/>
                <w:color w:val="000000"/>
                <w:kern w:val="2"/>
                <w:sz w:val="21"/>
                <w:szCs w:val="21"/>
              </w:rPr>
            </w:pPr>
            <w:r>
              <w:rPr>
                <w:rFonts w:hint="eastAsia" w:ascii="Times New Roman" w:hAnsi="Times New Roman"/>
                <w:color w:val="000000"/>
                <w:kern w:val="2"/>
                <w:sz w:val="21"/>
                <w:szCs w:val="21"/>
              </w:rPr>
              <w:t>339</w:t>
            </w:r>
          </w:p>
        </w:tc>
        <w:tc>
          <w:tcPr>
            <w:tcW w:w="1880" w:type="dxa"/>
            <w:gridSpan w:val="3"/>
            <w:tcMar>
              <w:left w:w="57" w:type="dxa"/>
              <w:right w:w="57" w:type="dxa"/>
            </w:tcMar>
            <w:vAlign w:val="center"/>
          </w:tcPr>
          <w:p>
            <w:pPr>
              <w:pStyle w:val="47"/>
              <w:spacing w:after="0"/>
              <w:rPr>
                <w:rFonts w:eastAsia="宋体"/>
                <w:szCs w:val="21"/>
              </w:rPr>
            </w:pPr>
            <w:r>
              <w:rPr>
                <w:rFonts w:eastAsia="宋体"/>
                <w:szCs w:val="21"/>
              </w:rPr>
              <w:t>实际环保投资</w:t>
            </w:r>
          </w:p>
          <w:p>
            <w:pPr>
              <w:pStyle w:val="47"/>
              <w:spacing w:after="0"/>
              <w:rPr>
                <w:b/>
                <w:color w:val="000000"/>
                <w:kern w:val="2"/>
                <w:sz w:val="15"/>
                <w:szCs w:val="15"/>
              </w:rPr>
            </w:pPr>
            <w:r>
              <w:rPr>
                <w:rFonts w:eastAsia="宋体"/>
                <w:szCs w:val="21"/>
              </w:rPr>
              <w:t>（万元）</w:t>
            </w:r>
          </w:p>
        </w:tc>
        <w:tc>
          <w:tcPr>
            <w:tcW w:w="1860" w:type="dxa"/>
            <w:gridSpan w:val="3"/>
            <w:tcMar>
              <w:left w:w="57" w:type="dxa"/>
              <w:right w:w="57" w:type="dxa"/>
            </w:tcMar>
            <w:vAlign w:val="center"/>
          </w:tcPr>
          <w:p>
            <w:pPr>
              <w:spacing w:after="0"/>
              <w:jc w:val="center"/>
              <w:rPr>
                <w:rFonts w:ascii="Times New Roman" w:hAnsi="Times New Roman"/>
                <w:color w:val="000000"/>
                <w:kern w:val="2"/>
                <w:sz w:val="21"/>
                <w:szCs w:val="21"/>
              </w:rPr>
            </w:pPr>
            <w:r>
              <w:rPr>
                <w:rFonts w:hint="eastAsia" w:ascii="Times New Roman" w:hAnsi="Times New Roman"/>
                <w:color w:val="000000"/>
                <w:kern w:val="2"/>
                <w:sz w:val="21"/>
                <w:szCs w:val="21"/>
              </w:rPr>
              <w:t>8.2</w:t>
            </w:r>
          </w:p>
        </w:tc>
        <w:tc>
          <w:tcPr>
            <w:tcW w:w="1403" w:type="dxa"/>
            <w:gridSpan w:val="3"/>
            <w:tcMar>
              <w:left w:w="57" w:type="dxa"/>
              <w:right w:w="57" w:type="dxa"/>
            </w:tcMar>
            <w:vAlign w:val="center"/>
          </w:tcPr>
          <w:p>
            <w:pPr>
              <w:pStyle w:val="47"/>
              <w:spacing w:after="0"/>
              <w:rPr>
                <w:b/>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7"/>
              <w:spacing w:after="0"/>
              <w:rPr>
                <w:color w:val="000000"/>
                <w:kern w:val="2"/>
                <w:szCs w:val="21"/>
              </w:rPr>
            </w:pPr>
            <w:r>
              <w:rPr>
                <w:rFonts w:hint="eastAsia"/>
                <w:color w:val="000000"/>
                <w:kern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1796" w:type="dxa"/>
            <w:gridSpan w:val="2"/>
            <w:tcMar>
              <w:left w:w="57" w:type="dxa"/>
              <w:right w:w="57" w:type="dxa"/>
            </w:tcMar>
            <w:vAlign w:val="center"/>
          </w:tcPr>
          <w:p>
            <w:pPr>
              <w:pStyle w:val="47"/>
              <w:spacing w:after="0"/>
              <w:rPr>
                <w:color w:val="000000"/>
                <w:kern w:val="2"/>
                <w:szCs w:val="21"/>
              </w:rPr>
            </w:pPr>
            <w:r>
              <w:rPr>
                <w:rFonts w:eastAsia="宋体"/>
                <w:szCs w:val="21"/>
              </w:rPr>
              <w:t>废水治理（万元）</w:t>
            </w:r>
          </w:p>
        </w:tc>
        <w:tc>
          <w:tcPr>
            <w:tcW w:w="828" w:type="dxa"/>
            <w:gridSpan w:val="2"/>
            <w:tcMar>
              <w:left w:w="57" w:type="dxa"/>
              <w:right w:w="57" w:type="dxa"/>
            </w:tcMar>
            <w:vAlign w:val="center"/>
          </w:tcPr>
          <w:p>
            <w:pPr>
              <w:pStyle w:val="47"/>
              <w:spacing w:after="0"/>
              <w:rPr>
                <w:color w:val="000000"/>
                <w:kern w:val="2"/>
                <w:szCs w:val="21"/>
              </w:rPr>
            </w:pPr>
            <w:r>
              <w:rPr>
                <w:rFonts w:hint="eastAsia"/>
                <w:color w:val="000000"/>
                <w:kern w:val="2"/>
                <w:szCs w:val="21"/>
              </w:rPr>
              <w:t>0.5</w:t>
            </w:r>
          </w:p>
        </w:tc>
        <w:tc>
          <w:tcPr>
            <w:tcW w:w="1379" w:type="dxa"/>
            <w:gridSpan w:val="3"/>
            <w:tcMar>
              <w:left w:w="57" w:type="dxa"/>
              <w:right w:w="57" w:type="dxa"/>
            </w:tcMar>
            <w:vAlign w:val="center"/>
          </w:tcPr>
          <w:p>
            <w:pPr>
              <w:pStyle w:val="47"/>
              <w:spacing w:after="0"/>
              <w:rPr>
                <w:rFonts w:eastAsia="宋体"/>
                <w:szCs w:val="21"/>
              </w:rPr>
            </w:pPr>
            <w:r>
              <w:rPr>
                <w:rFonts w:eastAsia="宋体"/>
                <w:szCs w:val="21"/>
              </w:rPr>
              <w:t>废气治理</w:t>
            </w:r>
          </w:p>
          <w:p>
            <w:pPr>
              <w:pStyle w:val="47"/>
              <w:spacing w:after="0"/>
              <w:rPr>
                <w:b/>
                <w:color w:val="000000"/>
                <w:kern w:val="2"/>
                <w:szCs w:val="21"/>
              </w:rPr>
            </w:pPr>
            <w:r>
              <w:rPr>
                <w:rFonts w:eastAsia="宋体"/>
                <w:szCs w:val="21"/>
              </w:rPr>
              <w:t>（万元）</w:t>
            </w:r>
          </w:p>
        </w:tc>
        <w:tc>
          <w:tcPr>
            <w:tcW w:w="944" w:type="dxa"/>
            <w:tcMar>
              <w:left w:w="57" w:type="dxa"/>
              <w:right w:w="57" w:type="dxa"/>
            </w:tcMar>
            <w:vAlign w:val="center"/>
          </w:tcPr>
          <w:p>
            <w:pPr>
              <w:pStyle w:val="47"/>
              <w:spacing w:after="0"/>
              <w:rPr>
                <w:color w:val="000000"/>
                <w:kern w:val="2"/>
                <w:szCs w:val="21"/>
              </w:rPr>
            </w:pPr>
            <w:r>
              <w:rPr>
                <w:rFonts w:hint="eastAsia"/>
                <w:color w:val="000000"/>
                <w:kern w:val="2"/>
                <w:szCs w:val="21"/>
              </w:rPr>
              <w:t>6</w:t>
            </w:r>
          </w:p>
        </w:tc>
        <w:tc>
          <w:tcPr>
            <w:tcW w:w="1493" w:type="dxa"/>
            <w:gridSpan w:val="3"/>
            <w:tcMar>
              <w:left w:w="57" w:type="dxa"/>
              <w:right w:w="57" w:type="dxa"/>
            </w:tcMar>
            <w:vAlign w:val="center"/>
          </w:tcPr>
          <w:p>
            <w:pPr>
              <w:pStyle w:val="47"/>
              <w:spacing w:after="0"/>
              <w:rPr>
                <w:rFonts w:eastAsia="宋体"/>
                <w:szCs w:val="21"/>
              </w:rPr>
            </w:pPr>
            <w:r>
              <w:rPr>
                <w:rFonts w:eastAsia="宋体"/>
                <w:szCs w:val="21"/>
              </w:rPr>
              <w:t>噪声治理</w:t>
            </w:r>
          </w:p>
          <w:p>
            <w:pPr>
              <w:pStyle w:val="47"/>
              <w:spacing w:after="0"/>
              <w:rPr>
                <w:b/>
                <w:color w:val="000000"/>
                <w:kern w:val="2"/>
                <w:szCs w:val="21"/>
              </w:rPr>
            </w:pPr>
            <w:r>
              <w:rPr>
                <w:rFonts w:eastAsia="宋体"/>
                <w:szCs w:val="21"/>
              </w:rPr>
              <w:t>（万元）</w:t>
            </w:r>
          </w:p>
        </w:tc>
        <w:tc>
          <w:tcPr>
            <w:tcW w:w="752" w:type="dxa"/>
            <w:tcMar>
              <w:left w:w="57" w:type="dxa"/>
              <w:right w:w="57" w:type="dxa"/>
            </w:tcMar>
            <w:vAlign w:val="center"/>
          </w:tcPr>
          <w:p>
            <w:pPr>
              <w:pStyle w:val="47"/>
              <w:spacing w:after="0"/>
              <w:rPr>
                <w:color w:val="000000"/>
                <w:kern w:val="2"/>
                <w:szCs w:val="21"/>
              </w:rPr>
            </w:pPr>
            <w:r>
              <w:rPr>
                <w:rFonts w:hint="eastAsia"/>
                <w:color w:val="000000"/>
                <w:kern w:val="2"/>
                <w:szCs w:val="21"/>
              </w:rPr>
              <w:t>1.2</w:t>
            </w:r>
          </w:p>
        </w:tc>
        <w:tc>
          <w:tcPr>
            <w:tcW w:w="1880" w:type="dxa"/>
            <w:gridSpan w:val="3"/>
            <w:tcMar>
              <w:left w:w="57" w:type="dxa"/>
              <w:right w:w="57" w:type="dxa"/>
            </w:tcMar>
            <w:vAlign w:val="center"/>
          </w:tcPr>
          <w:p>
            <w:pPr>
              <w:pStyle w:val="47"/>
              <w:spacing w:after="0"/>
              <w:rPr>
                <w:rFonts w:eastAsia="宋体"/>
                <w:szCs w:val="21"/>
              </w:rPr>
            </w:pPr>
            <w:r>
              <w:rPr>
                <w:rFonts w:eastAsia="宋体"/>
                <w:szCs w:val="21"/>
              </w:rPr>
              <w:t>固体废物治理</w:t>
            </w:r>
          </w:p>
          <w:p>
            <w:pPr>
              <w:pStyle w:val="47"/>
              <w:spacing w:after="0"/>
              <w:rPr>
                <w:color w:val="000000"/>
                <w:kern w:val="2"/>
                <w:szCs w:val="21"/>
              </w:rPr>
            </w:pPr>
            <w:r>
              <w:rPr>
                <w:rFonts w:eastAsia="宋体"/>
                <w:szCs w:val="21"/>
              </w:rPr>
              <w:t>（万元）</w:t>
            </w:r>
          </w:p>
        </w:tc>
        <w:tc>
          <w:tcPr>
            <w:tcW w:w="1860" w:type="dxa"/>
            <w:gridSpan w:val="3"/>
            <w:tcMar>
              <w:left w:w="57" w:type="dxa"/>
              <w:right w:w="57" w:type="dxa"/>
            </w:tcMar>
            <w:vAlign w:val="center"/>
          </w:tcPr>
          <w:p>
            <w:pPr>
              <w:pStyle w:val="47"/>
              <w:spacing w:after="0"/>
              <w:rPr>
                <w:color w:val="000000"/>
                <w:kern w:val="2"/>
                <w:szCs w:val="21"/>
              </w:rPr>
            </w:pPr>
            <w:r>
              <w:rPr>
                <w:rFonts w:hint="eastAsia"/>
                <w:color w:val="000000"/>
                <w:kern w:val="2"/>
                <w:szCs w:val="21"/>
              </w:rPr>
              <w:t>0.5</w:t>
            </w:r>
          </w:p>
        </w:tc>
        <w:tc>
          <w:tcPr>
            <w:tcW w:w="1403" w:type="dxa"/>
            <w:gridSpan w:val="3"/>
            <w:tcMar>
              <w:left w:w="57" w:type="dxa"/>
              <w:right w:w="57" w:type="dxa"/>
            </w:tcMar>
            <w:vAlign w:val="center"/>
          </w:tcPr>
          <w:p>
            <w:pPr>
              <w:pStyle w:val="47"/>
              <w:spacing w:after="0"/>
              <w:rPr>
                <w:b/>
                <w:color w:val="000000"/>
                <w:kern w:val="2"/>
                <w:szCs w:val="21"/>
              </w:rPr>
            </w:pPr>
            <w:r>
              <w:rPr>
                <w:rFonts w:eastAsia="宋体"/>
                <w:szCs w:val="21"/>
              </w:rPr>
              <w:t>绿化及生态（万元）</w:t>
            </w:r>
          </w:p>
        </w:tc>
        <w:tc>
          <w:tcPr>
            <w:tcW w:w="1312" w:type="dxa"/>
            <w:gridSpan w:val="2"/>
            <w:tcMar>
              <w:left w:w="57" w:type="dxa"/>
              <w:right w:w="57" w:type="dxa"/>
            </w:tcMar>
            <w:vAlign w:val="center"/>
          </w:tcPr>
          <w:p>
            <w:pPr>
              <w:pStyle w:val="47"/>
              <w:spacing w:after="0"/>
              <w:rPr>
                <w:color w:val="000000"/>
                <w:kern w:val="2"/>
                <w:szCs w:val="21"/>
              </w:rPr>
            </w:pPr>
            <w:r>
              <w:rPr>
                <w:rFonts w:eastAsia="宋体"/>
                <w:szCs w:val="21"/>
              </w:rPr>
              <w:t>无</w:t>
            </w:r>
          </w:p>
        </w:tc>
        <w:tc>
          <w:tcPr>
            <w:tcW w:w="960" w:type="dxa"/>
            <w:gridSpan w:val="2"/>
            <w:tcMar>
              <w:left w:w="57" w:type="dxa"/>
              <w:right w:w="57" w:type="dxa"/>
            </w:tcMar>
            <w:vAlign w:val="center"/>
          </w:tcPr>
          <w:p>
            <w:pPr>
              <w:pStyle w:val="47"/>
              <w:spacing w:after="0"/>
              <w:rPr>
                <w:rFonts w:eastAsia="宋体"/>
                <w:szCs w:val="21"/>
              </w:rPr>
            </w:pPr>
            <w:r>
              <w:rPr>
                <w:rFonts w:eastAsia="宋体"/>
                <w:szCs w:val="21"/>
              </w:rPr>
              <w:t>其他</w:t>
            </w:r>
          </w:p>
          <w:p>
            <w:pPr>
              <w:pStyle w:val="47"/>
              <w:spacing w:after="0"/>
              <w:rPr>
                <w:b/>
                <w:color w:val="000000"/>
                <w:kern w:val="2"/>
                <w:szCs w:val="21"/>
              </w:rPr>
            </w:pPr>
            <w:r>
              <w:rPr>
                <w:rFonts w:eastAsia="宋体"/>
                <w:szCs w:val="21"/>
              </w:rPr>
              <w:t>（万元）</w:t>
            </w:r>
          </w:p>
        </w:tc>
        <w:tc>
          <w:tcPr>
            <w:tcW w:w="911" w:type="dxa"/>
            <w:tcMar>
              <w:left w:w="57" w:type="dxa"/>
              <w:right w:w="57" w:type="dxa"/>
            </w:tcMar>
            <w:vAlign w:val="center"/>
          </w:tcPr>
          <w:p>
            <w:pPr>
              <w:pStyle w:val="47"/>
              <w:spacing w:after="0"/>
              <w:rPr>
                <w:color w:val="000000"/>
                <w:kern w:val="2"/>
                <w:szCs w:val="21"/>
              </w:rPr>
            </w:pPr>
            <w:r>
              <w:rPr>
                <w:rFonts w:eastAsia="宋体"/>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Cs w:val="21"/>
              </w:rPr>
            </w:pPr>
            <w:r>
              <w:rPr>
                <w:rFonts w:eastAsia="宋体"/>
                <w:szCs w:val="21"/>
              </w:rPr>
              <w:t>新增废水处理设施能力</w:t>
            </w:r>
          </w:p>
        </w:tc>
        <w:tc>
          <w:tcPr>
            <w:tcW w:w="5396" w:type="dxa"/>
            <w:gridSpan w:val="10"/>
            <w:tcMar>
              <w:left w:w="57" w:type="dxa"/>
              <w:right w:w="57" w:type="dxa"/>
            </w:tcMar>
            <w:vAlign w:val="center"/>
          </w:tcPr>
          <w:p>
            <w:pPr>
              <w:pStyle w:val="47"/>
              <w:spacing w:after="0"/>
              <w:rPr>
                <w:color w:val="000000"/>
                <w:kern w:val="2"/>
                <w:szCs w:val="21"/>
              </w:rPr>
            </w:pPr>
            <w:r>
              <w:rPr>
                <w:rFonts w:eastAsia="宋体"/>
                <w:szCs w:val="21"/>
              </w:rPr>
              <w:t>无</w:t>
            </w:r>
          </w:p>
        </w:tc>
        <w:tc>
          <w:tcPr>
            <w:tcW w:w="1880" w:type="dxa"/>
            <w:gridSpan w:val="3"/>
            <w:tcMar>
              <w:left w:w="57" w:type="dxa"/>
              <w:right w:w="57" w:type="dxa"/>
            </w:tcMar>
            <w:vAlign w:val="center"/>
          </w:tcPr>
          <w:p>
            <w:pPr>
              <w:pStyle w:val="47"/>
              <w:spacing w:after="0"/>
              <w:rPr>
                <w:color w:val="000000"/>
                <w:kern w:val="2"/>
                <w:szCs w:val="21"/>
              </w:rPr>
            </w:pPr>
            <w:r>
              <w:rPr>
                <w:rFonts w:eastAsia="宋体"/>
                <w:szCs w:val="21"/>
              </w:rPr>
              <w:t>新增废气处理设施能力</w:t>
            </w:r>
          </w:p>
        </w:tc>
        <w:tc>
          <w:tcPr>
            <w:tcW w:w="1860" w:type="dxa"/>
            <w:gridSpan w:val="3"/>
            <w:tcMar>
              <w:left w:w="57" w:type="dxa"/>
              <w:right w:w="57" w:type="dxa"/>
            </w:tcMar>
            <w:vAlign w:val="center"/>
          </w:tcPr>
          <w:p>
            <w:pPr>
              <w:pStyle w:val="47"/>
              <w:spacing w:after="0"/>
              <w:rPr>
                <w:color w:val="000000"/>
                <w:kern w:val="2"/>
                <w:szCs w:val="21"/>
              </w:rPr>
            </w:pPr>
            <w:r>
              <w:rPr>
                <w:rFonts w:eastAsia="宋体"/>
                <w:szCs w:val="21"/>
              </w:rPr>
              <w:t>无</w:t>
            </w:r>
          </w:p>
        </w:tc>
        <w:tc>
          <w:tcPr>
            <w:tcW w:w="1403" w:type="dxa"/>
            <w:gridSpan w:val="3"/>
            <w:tcMar>
              <w:left w:w="57" w:type="dxa"/>
              <w:right w:w="57" w:type="dxa"/>
            </w:tcMar>
            <w:vAlign w:val="center"/>
          </w:tcPr>
          <w:p>
            <w:pPr>
              <w:pStyle w:val="47"/>
              <w:spacing w:after="0"/>
              <w:rPr>
                <w:color w:val="000000"/>
                <w:kern w:val="2"/>
                <w:szCs w:val="21"/>
              </w:rPr>
            </w:pPr>
            <w:r>
              <w:rPr>
                <w:rFonts w:eastAsia="宋体"/>
                <w:szCs w:val="21"/>
              </w:rPr>
              <w:t>年平均工作时</w:t>
            </w:r>
          </w:p>
        </w:tc>
        <w:tc>
          <w:tcPr>
            <w:tcW w:w="3183" w:type="dxa"/>
            <w:gridSpan w:val="5"/>
            <w:tcMar>
              <w:left w:w="57" w:type="dxa"/>
              <w:right w:w="57" w:type="dxa"/>
            </w:tcMar>
            <w:vAlign w:val="center"/>
          </w:tcPr>
          <w:p>
            <w:pPr>
              <w:pStyle w:val="47"/>
              <w:spacing w:after="0"/>
              <w:rPr>
                <w:color w:val="000000"/>
                <w:kern w:val="2"/>
                <w:szCs w:val="21"/>
              </w:rPr>
            </w:pPr>
            <w:r>
              <w:rPr>
                <w:rFonts w:hint="eastAsia"/>
                <w:color w:val="000000"/>
                <w:kern w:val="2"/>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26" w:type="dxa"/>
            <w:gridSpan w:val="3"/>
            <w:tcMar>
              <w:left w:w="57" w:type="dxa"/>
              <w:right w:w="57" w:type="dxa"/>
            </w:tcMar>
            <w:vAlign w:val="center"/>
          </w:tcPr>
          <w:p>
            <w:pPr>
              <w:pStyle w:val="47"/>
              <w:spacing w:after="0"/>
            </w:pPr>
            <w:r>
              <w:rPr>
                <w:rFonts w:eastAsia="宋体"/>
                <w:szCs w:val="21"/>
              </w:rPr>
              <w:t>运营单位</w:t>
            </w:r>
          </w:p>
        </w:tc>
        <w:tc>
          <w:tcPr>
            <w:tcW w:w="3861" w:type="dxa"/>
            <w:gridSpan w:val="6"/>
            <w:tcMar>
              <w:left w:w="57" w:type="dxa"/>
              <w:right w:w="57" w:type="dxa"/>
            </w:tcMar>
            <w:vAlign w:val="center"/>
          </w:tcPr>
          <w:p>
            <w:pPr>
              <w:pStyle w:val="47"/>
              <w:spacing w:after="0"/>
              <w:rPr>
                <w:color w:val="000000"/>
                <w:kern w:val="2"/>
                <w:sz w:val="15"/>
                <w:szCs w:val="15"/>
              </w:rPr>
            </w:pPr>
            <w:r>
              <w:rPr>
                <w:rFonts w:hint="eastAsia" w:eastAsia="宋体"/>
                <w:szCs w:val="21"/>
              </w:rPr>
              <w:t>贵州苗通生物医药开发有限公司</w:t>
            </w:r>
          </w:p>
        </w:tc>
        <w:tc>
          <w:tcPr>
            <w:tcW w:w="1880" w:type="dxa"/>
            <w:gridSpan w:val="4"/>
            <w:tcMar>
              <w:left w:w="57" w:type="dxa"/>
              <w:right w:w="57" w:type="dxa"/>
            </w:tcMar>
            <w:vAlign w:val="center"/>
          </w:tcPr>
          <w:p>
            <w:pPr>
              <w:pStyle w:val="47"/>
              <w:spacing w:after="0"/>
              <w:rPr>
                <w:color w:val="000000"/>
                <w:kern w:val="2"/>
                <w:sz w:val="15"/>
                <w:szCs w:val="15"/>
              </w:rPr>
            </w:pPr>
            <w:r>
              <w:rPr>
                <w:rFonts w:eastAsia="宋体"/>
                <w:szCs w:val="21"/>
              </w:rPr>
              <w:t>运营单位社会统一信用代码（或组织机构代码）</w:t>
            </w:r>
          </w:p>
        </w:tc>
        <w:tc>
          <w:tcPr>
            <w:tcW w:w="2127" w:type="dxa"/>
            <w:gridSpan w:val="4"/>
            <w:tcMar>
              <w:left w:w="57" w:type="dxa"/>
              <w:right w:w="57" w:type="dxa"/>
            </w:tcMar>
            <w:vAlign w:val="center"/>
          </w:tcPr>
          <w:p>
            <w:pPr>
              <w:pStyle w:val="47"/>
              <w:spacing w:after="0"/>
              <w:rPr>
                <w:b/>
                <w:color w:val="000000"/>
                <w:kern w:val="2"/>
                <w:sz w:val="15"/>
                <w:szCs w:val="15"/>
              </w:rPr>
            </w:pPr>
            <w:r>
              <w:rPr>
                <w:rFonts w:hint="eastAsia"/>
                <w:bCs/>
                <w:color w:val="000000"/>
                <w:kern w:val="2"/>
                <w:szCs w:val="21"/>
              </w:rPr>
              <w:t>91522301755369447L</w:t>
            </w:r>
          </w:p>
        </w:tc>
        <w:tc>
          <w:tcPr>
            <w:tcW w:w="1506" w:type="dxa"/>
            <w:gridSpan w:val="2"/>
            <w:tcMar>
              <w:left w:w="57" w:type="dxa"/>
              <w:right w:w="57" w:type="dxa"/>
            </w:tcMar>
            <w:vAlign w:val="center"/>
          </w:tcPr>
          <w:p>
            <w:pPr>
              <w:pStyle w:val="47"/>
              <w:spacing w:after="0"/>
              <w:rPr>
                <w:rFonts w:eastAsia="宋体"/>
                <w:szCs w:val="21"/>
              </w:rPr>
            </w:pPr>
            <w:r>
              <w:rPr>
                <w:rFonts w:eastAsia="宋体"/>
                <w:szCs w:val="21"/>
              </w:rPr>
              <w:t>验收</w:t>
            </w:r>
          </w:p>
          <w:p>
            <w:pPr>
              <w:pStyle w:val="47"/>
              <w:spacing w:after="0"/>
              <w:rPr>
                <w:b/>
                <w:color w:val="000000"/>
                <w:kern w:val="2"/>
                <w:sz w:val="15"/>
                <w:szCs w:val="15"/>
              </w:rPr>
            </w:pPr>
            <w:r>
              <w:rPr>
                <w:rFonts w:eastAsia="宋体"/>
                <w:szCs w:val="21"/>
              </w:rPr>
              <w:t>时间</w:t>
            </w:r>
          </w:p>
        </w:tc>
        <w:tc>
          <w:tcPr>
            <w:tcW w:w="3918" w:type="dxa"/>
            <w:gridSpan w:val="7"/>
            <w:tcMar>
              <w:left w:w="57" w:type="dxa"/>
              <w:right w:w="57" w:type="dxa"/>
            </w:tcMar>
            <w:vAlign w:val="center"/>
          </w:tcPr>
          <w:p>
            <w:pPr>
              <w:pStyle w:val="47"/>
              <w:spacing w:after="0"/>
              <w:rPr>
                <w:color w:val="000000"/>
                <w:kern w:val="2"/>
                <w:sz w:val="15"/>
                <w:szCs w:val="15"/>
              </w:rPr>
            </w:pPr>
            <w:r>
              <w:rPr>
                <w:rFonts w:hint="eastAsia" w:eastAsia="宋体"/>
                <w:szCs w:val="21"/>
              </w:rPr>
              <w:t>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restart"/>
            <w:tcMar>
              <w:left w:w="57" w:type="dxa"/>
              <w:right w:w="57" w:type="dxa"/>
            </w:tcMar>
            <w:vAlign w:val="center"/>
          </w:tcPr>
          <w:p>
            <w:pPr>
              <w:pStyle w:val="47"/>
              <w:spacing w:after="0"/>
              <w:rPr>
                <w:rFonts w:eastAsia="宋体"/>
                <w:szCs w:val="21"/>
              </w:rPr>
            </w:pPr>
            <w:r>
              <w:rPr>
                <w:rFonts w:eastAsia="宋体"/>
                <w:szCs w:val="21"/>
              </w:rPr>
              <w:t>污染物排放达标与总量</w:t>
            </w:r>
          </w:p>
          <w:p>
            <w:pPr>
              <w:pStyle w:val="47"/>
              <w:spacing w:after="0"/>
              <w:rPr>
                <w:color w:val="000000"/>
                <w:kern w:val="2"/>
                <w:sz w:val="15"/>
                <w:szCs w:val="15"/>
              </w:rPr>
            </w:pPr>
            <w:r>
              <w:rPr>
                <w:rFonts w:eastAsia="宋体"/>
                <w:szCs w:val="21"/>
              </w:rPr>
              <w:t>控制（工业建设项目详填）</w:t>
            </w:r>
          </w:p>
        </w:tc>
        <w:tc>
          <w:tcPr>
            <w:tcW w:w="1199" w:type="dxa"/>
            <w:gridSpan w:val="2"/>
            <w:tcMar>
              <w:left w:w="57" w:type="dxa"/>
              <w:right w:w="57" w:type="dxa"/>
            </w:tcMar>
            <w:vAlign w:val="center"/>
          </w:tcPr>
          <w:p>
            <w:pPr>
              <w:pStyle w:val="47"/>
              <w:spacing w:after="0"/>
            </w:pPr>
            <w:r>
              <w:rPr>
                <w:rFonts w:eastAsia="宋体"/>
                <w:szCs w:val="21"/>
              </w:rPr>
              <w:t>污染物</w:t>
            </w:r>
          </w:p>
        </w:tc>
        <w:tc>
          <w:tcPr>
            <w:tcW w:w="828" w:type="dxa"/>
            <w:gridSpan w:val="3"/>
            <w:tcMar>
              <w:left w:w="57" w:type="dxa"/>
              <w:right w:w="57" w:type="dxa"/>
            </w:tcMar>
            <w:vAlign w:val="center"/>
          </w:tcPr>
          <w:p>
            <w:pPr>
              <w:pStyle w:val="47"/>
              <w:spacing w:after="0"/>
              <w:rPr>
                <w:rFonts w:eastAsia="宋体"/>
                <w:szCs w:val="21"/>
              </w:rPr>
            </w:pPr>
            <w:r>
              <w:rPr>
                <w:rFonts w:eastAsia="宋体"/>
                <w:szCs w:val="21"/>
              </w:rPr>
              <w:t>原有排</w:t>
            </w:r>
          </w:p>
          <w:p>
            <w:pPr>
              <w:pStyle w:val="47"/>
              <w:spacing w:after="0"/>
              <w:rPr>
                <w:b/>
                <w:color w:val="000000"/>
                <w:kern w:val="2"/>
                <w:sz w:val="15"/>
                <w:szCs w:val="15"/>
              </w:rPr>
            </w:pPr>
            <w:r>
              <w:rPr>
                <w:rFonts w:eastAsia="宋体"/>
                <w:szCs w:val="21"/>
              </w:rPr>
              <w:t>放量(1)</w:t>
            </w:r>
          </w:p>
        </w:tc>
        <w:tc>
          <w:tcPr>
            <w:tcW w:w="949" w:type="dxa"/>
            <w:tcMar>
              <w:left w:w="57" w:type="dxa"/>
              <w:right w:w="57" w:type="dxa"/>
            </w:tcMar>
            <w:vAlign w:val="center"/>
          </w:tcPr>
          <w:p>
            <w:pPr>
              <w:pStyle w:val="47"/>
              <w:spacing w:after="0"/>
              <w:rPr>
                <w:b/>
                <w:color w:val="000000"/>
                <w:kern w:val="2"/>
                <w:sz w:val="15"/>
                <w:szCs w:val="15"/>
              </w:rPr>
            </w:pPr>
            <w:r>
              <w:rPr>
                <w:rFonts w:eastAsia="宋体"/>
                <w:szCs w:val="21"/>
              </w:rPr>
              <w:t>本期工程实际排放浓度(2)</w:t>
            </w:r>
          </w:p>
        </w:tc>
        <w:tc>
          <w:tcPr>
            <w:tcW w:w="944" w:type="dxa"/>
            <w:tcMar>
              <w:left w:w="57" w:type="dxa"/>
              <w:right w:w="57" w:type="dxa"/>
            </w:tcMar>
            <w:vAlign w:val="center"/>
          </w:tcPr>
          <w:p>
            <w:pPr>
              <w:pStyle w:val="47"/>
              <w:spacing w:after="0"/>
              <w:rPr>
                <w:b/>
                <w:color w:val="000000"/>
                <w:kern w:val="2"/>
                <w:sz w:val="15"/>
                <w:szCs w:val="15"/>
              </w:rPr>
            </w:pPr>
            <w:r>
              <w:rPr>
                <w:rFonts w:eastAsia="宋体"/>
                <w:szCs w:val="21"/>
              </w:rPr>
              <w:t>本期工程允许排放浓度(3)</w:t>
            </w:r>
          </w:p>
        </w:tc>
        <w:tc>
          <w:tcPr>
            <w:tcW w:w="1140" w:type="dxa"/>
            <w:tcMar>
              <w:left w:w="57" w:type="dxa"/>
              <w:right w:w="57" w:type="dxa"/>
            </w:tcMar>
            <w:vAlign w:val="center"/>
          </w:tcPr>
          <w:p>
            <w:pPr>
              <w:pStyle w:val="47"/>
              <w:spacing w:after="0"/>
              <w:rPr>
                <w:b/>
                <w:color w:val="000000"/>
                <w:kern w:val="2"/>
                <w:sz w:val="15"/>
                <w:szCs w:val="15"/>
              </w:rPr>
            </w:pPr>
            <w:r>
              <w:rPr>
                <w:rFonts w:eastAsia="宋体"/>
                <w:szCs w:val="21"/>
              </w:rPr>
              <w:t>本期工程产生量(4)</w:t>
            </w:r>
          </w:p>
        </w:tc>
        <w:tc>
          <w:tcPr>
            <w:tcW w:w="1105" w:type="dxa"/>
            <w:gridSpan w:val="3"/>
            <w:tcMar>
              <w:left w:w="57" w:type="dxa"/>
              <w:right w:w="57" w:type="dxa"/>
            </w:tcMar>
            <w:vAlign w:val="center"/>
          </w:tcPr>
          <w:p>
            <w:pPr>
              <w:pStyle w:val="47"/>
              <w:spacing w:after="0"/>
              <w:rPr>
                <w:b/>
                <w:color w:val="000000"/>
                <w:kern w:val="2"/>
                <w:sz w:val="15"/>
                <w:szCs w:val="15"/>
              </w:rPr>
            </w:pPr>
            <w:r>
              <w:rPr>
                <w:rFonts w:eastAsia="宋体"/>
                <w:szCs w:val="21"/>
              </w:rPr>
              <w:t>本期工程自身削减量(5)</w:t>
            </w:r>
          </w:p>
        </w:tc>
        <w:tc>
          <w:tcPr>
            <w:tcW w:w="1237" w:type="dxa"/>
            <w:gridSpan w:val="2"/>
            <w:tcMar>
              <w:left w:w="57" w:type="dxa"/>
              <w:right w:w="57" w:type="dxa"/>
            </w:tcMar>
            <w:vAlign w:val="center"/>
          </w:tcPr>
          <w:p>
            <w:pPr>
              <w:pStyle w:val="47"/>
              <w:spacing w:after="0"/>
              <w:rPr>
                <w:b/>
                <w:color w:val="000000"/>
                <w:kern w:val="2"/>
                <w:sz w:val="15"/>
                <w:szCs w:val="15"/>
              </w:rPr>
            </w:pPr>
            <w:r>
              <w:rPr>
                <w:rFonts w:eastAsia="宋体"/>
                <w:szCs w:val="21"/>
              </w:rPr>
              <w:t>本期工程实际排放量(6)</w:t>
            </w:r>
          </w:p>
        </w:tc>
        <w:tc>
          <w:tcPr>
            <w:tcW w:w="1089" w:type="dxa"/>
            <w:gridSpan w:val="2"/>
            <w:tcMar>
              <w:left w:w="57" w:type="dxa"/>
              <w:right w:w="57" w:type="dxa"/>
            </w:tcMar>
            <w:vAlign w:val="center"/>
          </w:tcPr>
          <w:p>
            <w:pPr>
              <w:pStyle w:val="47"/>
              <w:spacing w:after="0"/>
              <w:rPr>
                <w:b/>
                <w:color w:val="000000"/>
                <w:kern w:val="2"/>
                <w:sz w:val="15"/>
                <w:szCs w:val="15"/>
              </w:rPr>
            </w:pPr>
            <w:r>
              <w:rPr>
                <w:rFonts w:eastAsia="宋体"/>
                <w:szCs w:val="21"/>
              </w:rPr>
              <w:t>本期工程核定排放总量(7)</w:t>
            </w:r>
          </w:p>
        </w:tc>
        <w:tc>
          <w:tcPr>
            <w:tcW w:w="1414" w:type="dxa"/>
            <w:gridSpan w:val="2"/>
            <w:tcMar>
              <w:left w:w="57" w:type="dxa"/>
              <w:right w:w="57" w:type="dxa"/>
            </w:tcMar>
            <w:vAlign w:val="center"/>
          </w:tcPr>
          <w:p>
            <w:pPr>
              <w:pStyle w:val="47"/>
              <w:spacing w:after="0"/>
              <w:rPr>
                <w:b/>
                <w:color w:val="000000"/>
                <w:kern w:val="2"/>
                <w:sz w:val="15"/>
                <w:szCs w:val="15"/>
              </w:rPr>
            </w:pPr>
            <w:r>
              <w:rPr>
                <w:rFonts w:eastAsia="宋体"/>
                <w:szCs w:val="21"/>
              </w:rPr>
              <w:t>本期工程“以新带老”削减量(8)</w:t>
            </w:r>
          </w:p>
        </w:tc>
        <w:tc>
          <w:tcPr>
            <w:tcW w:w="1206" w:type="dxa"/>
            <w:gridSpan w:val="2"/>
            <w:tcMar>
              <w:left w:w="57" w:type="dxa"/>
              <w:right w:w="57" w:type="dxa"/>
            </w:tcMar>
            <w:vAlign w:val="center"/>
          </w:tcPr>
          <w:p>
            <w:pPr>
              <w:pStyle w:val="47"/>
              <w:spacing w:after="0"/>
              <w:rPr>
                <w:b/>
                <w:color w:val="000000"/>
                <w:kern w:val="2"/>
                <w:sz w:val="15"/>
                <w:szCs w:val="15"/>
              </w:rPr>
            </w:pPr>
            <w:r>
              <w:rPr>
                <w:rFonts w:eastAsia="宋体"/>
                <w:szCs w:val="21"/>
              </w:rPr>
              <w:t>全厂实际排放总量(9)</w:t>
            </w:r>
          </w:p>
        </w:tc>
        <w:tc>
          <w:tcPr>
            <w:tcW w:w="1244" w:type="dxa"/>
            <w:gridSpan w:val="2"/>
            <w:tcMar>
              <w:left w:w="57" w:type="dxa"/>
              <w:right w:w="57" w:type="dxa"/>
            </w:tcMar>
            <w:vAlign w:val="center"/>
          </w:tcPr>
          <w:p>
            <w:pPr>
              <w:pStyle w:val="47"/>
              <w:spacing w:after="0"/>
              <w:rPr>
                <w:b/>
                <w:color w:val="000000"/>
                <w:kern w:val="2"/>
                <w:sz w:val="15"/>
                <w:szCs w:val="15"/>
              </w:rPr>
            </w:pPr>
            <w:r>
              <w:rPr>
                <w:rFonts w:eastAsia="宋体"/>
                <w:szCs w:val="21"/>
              </w:rPr>
              <w:t>全厂核定排放总量(10)</w:t>
            </w:r>
          </w:p>
        </w:tc>
        <w:tc>
          <w:tcPr>
            <w:tcW w:w="1102" w:type="dxa"/>
            <w:gridSpan w:val="2"/>
            <w:tcMar>
              <w:left w:w="57" w:type="dxa"/>
              <w:right w:w="57" w:type="dxa"/>
            </w:tcMar>
            <w:vAlign w:val="center"/>
          </w:tcPr>
          <w:p>
            <w:pPr>
              <w:pStyle w:val="47"/>
              <w:spacing w:after="0"/>
              <w:rPr>
                <w:b/>
                <w:color w:val="000000"/>
                <w:kern w:val="2"/>
                <w:sz w:val="15"/>
                <w:szCs w:val="15"/>
              </w:rPr>
            </w:pPr>
            <w:r>
              <w:rPr>
                <w:rFonts w:eastAsia="宋体"/>
                <w:szCs w:val="21"/>
              </w:rPr>
              <w:t>区域平衡替代削减量(11)</w:t>
            </w:r>
          </w:p>
        </w:tc>
        <w:tc>
          <w:tcPr>
            <w:tcW w:w="1034" w:type="dxa"/>
            <w:gridSpan w:val="2"/>
            <w:tcMar>
              <w:left w:w="57" w:type="dxa"/>
              <w:right w:w="57" w:type="dxa"/>
            </w:tcMar>
            <w:vAlign w:val="center"/>
          </w:tcPr>
          <w:p>
            <w:pPr>
              <w:pStyle w:val="47"/>
              <w:spacing w:after="0"/>
              <w:rPr>
                <w:b/>
                <w:color w:val="000000"/>
                <w:kern w:val="2"/>
                <w:sz w:val="15"/>
                <w:szCs w:val="15"/>
              </w:rPr>
            </w:pPr>
            <w:r>
              <w:rPr>
                <w:rFonts w:eastAsia="宋体"/>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1027" w:type="dxa"/>
            <w:vMerge w:val="continue"/>
            <w:tcMar>
              <w:left w:w="57" w:type="dxa"/>
              <w:right w:w="57" w:type="dxa"/>
            </w:tcMar>
            <w:vAlign w:val="center"/>
          </w:tcPr>
          <w:p>
            <w:pPr>
              <w:pStyle w:val="47"/>
              <w:spacing w:after="0"/>
              <w:rPr>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废水</w:t>
            </w:r>
          </w:p>
        </w:tc>
        <w:tc>
          <w:tcPr>
            <w:tcW w:w="828" w:type="dxa"/>
            <w:gridSpan w:val="3"/>
            <w:tcMar>
              <w:left w:w="57" w:type="dxa"/>
              <w:right w:w="57" w:type="dxa"/>
            </w:tcMar>
            <w:vAlign w:val="center"/>
          </w:tcPr>
          <w:p>
            <w:pPr>
              <w:pStyle w:val="47"/>
              <w:spacing w:after="0"/>
              <w:rPr>
                <w:color w:val="000000"/>
                <w:kern w:val="2"/>
                <w:sz w:val="18"/>
                <w:szCs w:val="18"/>
              </w:rPr>
            </w:pPr>
          </w:p>
        </w:tc>
        <w:tc>
          <w:tcPr>
            <w:tcW w:w="949" w:type="dxa"/>
            <w:tcMar>
              <w:left w:w="57" w:type="dxa"/>
              <w:right w:w="57" w:type="dxa"/>
            </w:tcMar>
            <w:vAlign w:val="center"/>
          </w:tcPr>
          <w:p>
            <w:pPr>
              <w:pStyle w:val="47"/>
              <w:spacing w:after="0"/>
              <w:rPr>
                <w:color w:val="000000"/>
                <w:kern w:val="2"/>
                <w:sz w:val="18"/>
                <w:szCs w:val="18"/>
              </w:rPr>
            </w:pPr>
          </w:p>
        </w:tc>
        <w:tc>
          <w:tcPr>
            <w:tcW w:w="944" w:type="dxa"/>
            <w:tcMar>
              <w:left w:w="57" w:type="dxa"/>
              <w:right w:w="57" w:type="dxa"/>
            </w:tcMar>
            <w:vAlign w:val="center"/>
          </w:tcPr>
          <w:p>
            <w:pPr>
              <w:pStyle w:val="47"/>
              <w:spacing w:after="0"/>
              <w:rPr>
                <w:color w:val="000000"/>
                <w:kern w:val="2"/>
                <w:sz w:val="15"/>
                <w:szCs w:val="15"/>
              </w:rPr>
            </w:pPr>
          </w:p>
        </w:tc>
        <w:tc>
          <w:tcPr>
            <w:tcW w:w="1140"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gridSpan w:val="2"/>
            <w:tcMar>
              <w:left w:w="57" w:type="dxa"/>
              <w:right w:w="57" w:type="dxa"/>
            </w:tcMar>
            <w:vAlign w:val="center"/>
          </w:tcPr>
          <w:p>
            <w:pPr>
              <w:pStyle w:val="47"/>
              <w:spacing w:after="0"/>
              <w:rPr>
                <w:color w:val="000000"/>
                <w:kern w:val="2"/>
                <w:szCs w:val="21"/>
              </w:rPr>
            </w:pPr>
          </w:p>
        </w:tc>
        <w:tc>
          <w:tcPr>
            <w:tcW w:w="1089" w:type="dxa"/>
            <w:gridSpan w:val="2"/>
            <w:tcMar>
              <w:left w:w="57" w:type="dxa"/>
              <w:right w:w="57" w:type="dxa"/>
            </w:tcMar>
            <w:vAlign w:val="center"/>
          </w:tcPr>
          <w:p>
            <w:pPr>
              <w:pStyle w:val="47"/>
              <w:spacing w:after="0"/>
              <w:rPr>
                <w:color w:val="000000"/>
                <w:kern w:val="2"/>
                <w:sz w:val="15"/>
                <w:szCs w:val="15"/>
              </w:rPr>
            </w:pPr>
          </w:p>
        </w:tc>
        <w:tc>
          <w:tcPr>
            <w:tcW w:w="1414" w:type="dxa"/>
            <w:gridSpan w:val="2"/>
            <w:tcMar>
              <w:left w:w="57" w:type="dxa"/>
              <w:right w:w="57" w:type="dxa"/>
            </w:tcMar>
            <w:vAlign w:val="center"/>
          </w:tcPr>
          <w:p>
            <w:pPr>
              <w:pStyle w:val="47"/>
              <w:spacing w:after="0"/>
              <w:rPr>
                <w:color w:val="000000"/>
                <w:kern w:val="2"/>
                <w:sz w:val="15"/>
                <w:szCs w:val="15"/>
              </w:rPr>
            </w:pPr>
          </w:p>
        </w:tc>
        <w:tc>
          <w:tcPr>
            <w:tcW w:w="1206" w:type="dxa"/>
            <w:gridSpan w:val="2"/>
            <w:tcMar>
              <w:left w:w="57" w:type="dxa"/>
              <w:right w:w="57" w:type="dxa"/>
            </w:tcMar>
            <w:vAlign w:val="center"/>
          </w:tcPr>
          <w:p>
            <w:pPr>
              <w:pStyle w:val="47"/>
              <w:spacing w:after="0"/>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pStyle w:val="47"/>
              <w:spacing w:after="0"/>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化学需氧量</w:t>
            </w:r>
          </w:p>
        </w:tc>
        <w:tc>
          <w:tcPr>
            <w:tcW w:w="828" w:type="dxa"/>
            <w:gridSpan w:val="3"/>
            <w:tcMar>
              <w:left w:w="57" w:type="dxa"/>
              <w:right w:w="57" w:type="dxa"/>
            </w:tcMar>
            <w:vAlign w:val="center"/>
          </w:tcPr>
          <w:p>
            <w:pPr>
              <w:pStyle w:val="47"/>
              <w:spacing w:after="0"/>
              <w:rPr>
                <w:color w:val="000000"/>
                <w:kern w:val="2"/>
                <w:sz w:val="15"/>
                <w:szCs w:val="15"/>
              </w:rPr>
            </w:pPr>
          </w:p>
        </w:tc>
        <w:tc>
          <w:tcPr>
            <w:tcW w:w="949" w:type="dxa"/>
            <w:tcMar>
              <w:left w:w="57" w:type="dxa"/>
              <w:right w:w="57" w:type="dxa"/>
            </w:tcMar>
            <w:vAlign w:val="center"/>
          </w:tcPr>
          <w:p>
            <w:pPr>
              <w:pStyle w:val="47"/>
              <w:spacing w:after="0"/>
              <w:rPr>
                <w:color w:val="000000"/>
                <w:kern w:val="2"/>
                <w:sz w:val="15"/>
                <w:szCs w:val="15"/>
              </w:rPr>
            </w:pPr>
          </w:p>
        </w:tc>
        <w:tc>
          <w:tcPr>
            <w:tcW w:w="944" w:type="dxa"/>
            <w:tcMar>
              <w:left w:w="57" w:type="dxa"/>
              <w:right w:w="57" w:type="dxa"/>
            </w:tcMar>
            <w:vAlign w:val="center"/>
          </w:tcPr>
          <w:p>
            <w:pPr>
              <w:pStyle w:val="47"/>
              <w:spacing w:after="0"/>
              <w:rPr>
                <w:color w:val="000000"/>
                <w:kern w:val="2"/>
                <w:sz w:val="15"/>
                <w:szCs w:val="15"/>
              </w:rPr>
            </w:pPr>
          </w:p>
        </w:tc>
        <w:tc>
          <w:tcPr>
            <w:tcW w:w="1140"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2"/>
            <w:tcMar>
              <w:left w:w="57" w:type="dxa"/>
              <w:right w:w="57" w:type="dxa"/>
            </w:tcMar>
            <w:vAlign w:val="center"/>
          </w:tcPr>
          <w:p>
            <w:pPr>
              <w:pStyle w:val="47"/>
              <w:spacing w:after="0"/>
              <w:rPr>
                <w:color w:val="000000"/>
                <w:kern w:val="2"/>
                <w:sz w:val="15"/>
                <w:szCs w:val="15"/>
              </w:rPr>
            </w:pPr>
          </w:p>
        </w:tc>
        <w:tc>
          <w:tcPr>
            <w:tcW w:w="1414" w:type="dxa"/>
            <w:gridSpan w:val="2"/>
            <w:tcMar>
              <w:left w:w="57" w:type="dxa"/>
              <w:right w:w="57" w:type="dxa"/>
            </w:tcMar>
            <w:vAlign w:val="center"/>
          </w:tcPr>
          <w:p>
            <w:pPr>
              <w:pStyle w:val="47"/>
              <w:spacing w:after="0"/>
              <w:rPr>
                <w:color w:val="000000"/>
                <w:kern w:val="2"/>
                <w:sz w:val="15"/>
                <w:szCs w:val="15"/>
              </w:rPr>
            </w:pPr>
          </w:p>
        </w:tc>
        <w:tc>
          <w:tcPr>
            <w:tcW w:w="1206"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氨氮</w:t>
            </w:r>
          </w:p>
        </w:tc>
        <w:tc>
          <w:tcPr>
            <w:tcW w:w="828" w:type="dxa"/>
            <w:gridSpan w:val="3"/>
            <w:tcMar>
              <w:left w:w="57" w:type="dxa"/>
              <w:right w:w="57" w:type="dxa"/>
            </w:tcMar>
            <w:vAlign w:val="center"/>
          </w:tcPr>
          <w:p>
            <w:pPr>
              <w:pStyle w:val="47"/>
              <w:spacing w:after="0"/>
              <w:rPr>
                <w:color w:val="000000"/>
                <w:kern w:val="2"/>
                <w:sz w:val="15"/>
                <w:szCs w:val="15"/>
              </w:rPr>
            </w:pPr>
          </w:p>
        </w:tc>
        <w:tc>
          <w:tcPr>
            <w:tcW w:w="949" w:type="dxa"/>
            <w:tcMar>
              <w:left w:w="57" w:type="dxa"/>
              <w:right w:w="57" w:type="dxa"/>
            </w:tcMar>
            <w:vAlign w:val="center"/>
          </w:tcPr>
          <w:p>
            <w:pPr>
              <w:pStyle w:val="47"/>
              <w:spacing w:after="0"/>
              <w:rPr>
                <w:color w:val="000000"/>
                <w:kern w:val="2"/>
                <w:sz w:val="15"/>
                <w:szCs w:val="15"/>
              </w:rPr>
            </w:pPr>
          </w:p>
        </w:tc>
        <w:tc>
          <w:tcPr>
            <w:tcW w:w="944" w:type="dxa"/>
            <w:tcMar>
              <w:left w:w="57" w:type="dxa"/>
              <w:right w:w="57" w:type="dxa"/>
            </w:tcMar>
            <w:vAlign w:val="center"/>
          </w:tcPr>
          <w:p>
            <w:pPr>
              <w:pStyle w:val="47"/>
              <w:spacing w:after="0"/>
              <w:rPr>
                <w:color w:val="000000"/>
                <w:kern w:val="2"/>
                <w:sz w:val="15"/>
                <w:szCs w:val="15"/>
              </w:rPr>
            </w:pPr>
          </w:p>
        </w:tc>
        <w:tc>
          <w:tcPr>
            <w:tcW w:w="1140"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2"/>
            <w:tcMar>
              <w:left w:w="57" w:type="dxa"/>
              <w:right w:w="57" w:type="dxa"/>
            </w:tcMar>
            <w:vAlign w:val="center"/>
          </w:tcPr>
          <w:p>
            <w:pPr>
              <w:pStyle w:val="47"/>
              <w:spacing w:after="0"/>
              <w:rPr>
                <w:color w:val="000000"/>
                <w:kern w:val="2"/>
                <w:sz w:val="15"/>
                <w:szCs w:val="15"/>
              </w:rPr>
            </w:pPr>
          </w:p>
        </w:tc>
        <w:tc>
          <w:tcPr>
            <w:tcW w:w="1414" w:type="dxa"/>
            <w:gridSpan w:val="2"/>
            <w:tcMar>
              <w:left w:w="57" w:type="dxa"/>
              <w:right w:w="57" w:type="dxa"/>
            </w:tcMar>
            <w:vAlign w:val="center"/>
          </w:tcPr>
          <w:p>
            <w:pPr>
              <w:pStyle w:val="47"/>
              <w:spacing w:after="0"/>
              <w:rPr>
                <w:color w:val="000000"/>
                <w:kern w:val="2"/>
                <w:sz w:val="15"/>
                <w:szCs w:val="15"/>
              </w:rPr>
            </w:pPr>
          </w:p>
        </w:tc>
        <w:tc>
          <w:tcPr>
            <w:tcW w:w="1206"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石油类</w:t>
            </w:r>
          </w:p>
        </w:tc>
        <w:tc>
          <w:tcPr>
            <w:tcW w:w="828" w:type="dxa"/>
            <w:gridSpan w:val="3"/>
            <w:tcMar>
              <w:left w:w="57" w:type="dxa"/>
              <w:right w:w="57" w:type="dxa"/>
            </w:tcMar>
            <w:vAlign w:val="center"/>
          </w:tcPr>
          <w:p>
            <w:pPr>
              <w:pStyle w:val="47"/>
              <w:spacing w:after="0"/>
              <w:rPr>
                <w:color w:val="000000"/>
                <w:kern w:val="2"/>
                <w:szCs w:val="21"/>
              </w:rPr>
            </w:pPr>
          </w:p>
        </w:tc>
        <w:tc>
          <w:tcPr>
            <w:tcW w:w="949" w:type="dxa"/>
            <w:tcMar>
              <w:left w:w="57" w:type="dxa"/>
              <w:right w:w="57" w:type="dxa"/>
            </w:tcMar>
            <w:vAlign w:val="center"/>
          </w:tcPr>
          <w:p>
            <w:pPr>
              <w:pStyle w:val="47"/>
              <w:spacing w:after="0"/>
              <w:rPr>
                <w:color w:val="000000"/>
                <w:kern w:val="2"/>
                <w:szCs w:val="21"/>
              </w:rPr>
            </w:pPr>
          </w:p>
        </w:tc>
        <w:tc>
          <w:tcPr>
            <w:tcW w:w="944" w:type="dxa"/>
            <w:tcMar>
              <w:left w:w="57" w:type="dxa"/>
              <w:right w:w="57" w:type="dxa"/>
            </w:tcMar>
            <w:vAlign w:val="center"/>
          </w:tcPr>
          <w:p>
            <w:pPr>
              <w:pStyle w:val="47"/>
              <w:spacing w:after="0"/>
              <w:rPr>
                <w:color w:val="000000"/>
                <w:kern w:val="2"/>
                <w:szCs w:val="21"/>
              </w:rPr>
            </w:pPr>
          </w:p>
        </w:tc>
        <w:tc>
          <w:tcPr>
            <w:tcW w:w="1140" w:type="dxa"/>
            <w:tcMar>
              <w:left w:w="57" w:type="dxa"/>
              <w:right w:w="57" w:type="dxa"/>
            </w:tcMar>
            <w:vAlign w:val="center"/>
          </w:tcPr>
          <w:p>
            <w:pPr>
              <w:pStyle w:val="47"/>
              <w:spacing w:after="0"/>
              <w:rPr>
                <w:color w:val="000000"/>
                <w:kern w:val="2"/>
                <w:szCs w:val="21"/>
              </w:rPr>
            </w:pPr>
          </w:p>
        </w:tc>
        <w:tc>
          <w:tcPr>
            <w:tcW w:w="1105" w:type="dxa"/>
            <w:gridSpan w:val="3"/>
            <w:tcMar>
              <w:left w:w="57" w:type="dxa"/>
              <w:right w:w="57" w:type="dxa"/>
            </w:tcMar>
            <w:vAlign w:val="center"/>
          </w:tcPr>
          <w:p>
            <w:pPr>
              <w:pStyle w:val="47"/>
              <w:spacing w:after="0"/>
              <w:rPr>
                <w:color w:val="000000"/>
                <w:kern w:val="2"/>
                <w:szCs w:val="21"/>
              </w:rPr>
            </w:pPr>
          </w:p>
        </w:tc>
        <w:tc>
          <w:tcPr>
            <w:tcW w:w="1237" w:type="dxa"/>
            <w:gridSpan w:val="2"/>
            <w:tcMar>
              <w:left w:w="57" w:type="dxa"/>
              <w:right w:w="57" w:type="dxa"/>
            </w:tcMar>
            <w:vAlign w:val="center"/>
          </w:tcPr>
          <w:p>
            <w:pPr>
              <w:pStyle w:val="47"/>
              <w:spacing w:after="0"/>
              <w:rPr>
                <w:color w:val="000000"/>
                <w:kern w:val="2"/>
                <w:szCs w:val="21"/>
              </w:rPr>
            </w:pPr>
          </w:p>
        </w:tc>
        <w:tc>
          <w:tcPr>
            <w:tcW w:w="1089" w:type="dxa"/>
            <w:gridSpan w:val="2"/>
            <w:tcMar>
              <w:left w:w="57" w:type="dxa"/>
              <w:right w:w="57" w:type="dxa"/>
            </w:tcMar>
            <w:vAlign w:val="center"/>
          </w:tcPr>
          <w:p>
            <w:pPr>
              <w:pStyle w:val="47"/>
              <w:spacing w:after="0"/>
              <w:rPr>
                <w:color w:val="000000"/>
                <w:kern w:val="2"/>
                <w:szCs w:val="21"/>
              </w:rPr>
            </w:pPr>
          </w:p>
        </w:tc>
        <w:tc>
          <w:tcPr>
            <w:tcW w:w="1414" w:type="dxa"/>
            <w:gridSpan w:val="2"/>
            <w:tcMar>
              <w:left w:w="57" w:type="dxa"/>
              <w:right w:w="57" w:type="dxa"/>
            </w:tcMar>
            <w:vAlign w:val="center"/>
          </w:tcPr>
          <w:p>
            <w:pPr>
              <w:pStyle w:val="47"/>
              <w:spacing w:after="0"/>
              <w:rPr>
                <w:color w:val="000000"/>
                <w:kern w:val="2"/>
                <w:szCs w:val="21"/>
              </w:rPr>
            </w:pPr>
          </w:p>
        </w:tc>
        <w:tc>
          <w:tcPr>
            <w:tcW w:w="1206" w:type="dxa"/>
            <w:gridSpan w:val="2"/>
            <w:tcMar>
              <w:left w:w="57" w:type="dxa"/>
              <w:right w:w="57" w:type="dxa"/>
            </w:tcMar>
            <w:vAlign w:val="center"/>
          </w:tcPr>
          <w:p>
            <w:pPr>
              <w:pStyle w:val="47"/>
              <w:spacing w:after="0"/>
              <w:rPr>
                <w:color w:val="000000"/>
                <w:kern w:val="2"/>
                <w:szCs w:val="21"/>
              </w:rPr>
            </w:pPr>
          </w:p>
        </w:tc>
        <w:tc>
          <w:tcPr>
            <w:tcW w:w="1244" w:type="dxa"/>
            <w:gridSpan w:val="2"/>
            <w:tcMar>
              <w:left w:w="57" w:type="dxa"/>
              <w:right w:w="57" w:type="dxa"/>
            </w:tcMar>
            <w:vAlign w:val="center"/>
          </w:tcPr>
          <w:p>
            <w:pPr>
              <w:pStyle w:val="47"/>
              <w:spacing w:after="0"/>
              <w:rPr>
                <w:color w:val="000000"/>
                <w:kern w:val="2"/>
                <w:szCs w:val="21"/>
              </w:rPr>
            </w:pPr>
          </w:p>
        </w:tc>
        <w:tc>
          <w:tcPr>
            <w:tcW w:w="1102" w:type="dxa"/>
            <w:gridSpan w:val="2"/>
            <w:tcMar>
              <w:left w:w="57" w:type="dxa"/>
              <w:right w:w="57" w:type="dxa"/>
            </w:tcMar>
            <w:vAlign w:val="center"/>
          </w:tcPr>
          <w:p>
            <w:pPr>
              <w:pStyle w:val="47"/>
              <w:spacing w:after="0"/>
              <w:rPr>
                <w:color w:val="000000"/>
                <w:kern w:val="2"/>
                <w:szCs w:val="21"/>
              </w:rPr>
            </w:pPr>
          </w:p>
        </w:tc>
        <w:tc>
          <w:tcPr>
            <w:tcW w:w="1034" w:type="dxa"/>
            <w:gridSpan w:val="2"/>
            <w:tcMar>
              <w:left w:w="57" w:type="dxa"/>
              <w:right w:w="57" w:type="dxa"/>
            </w:tcMar>
            <w:vAlign w:val="center"/>
          </w:tcPr>
          <w:p>
            <w:pPr>
              <w:pStyle w:val="47"/>
              <w:spacing w:after="0"/>
              <w:rPr>
                <w:color w:val="000000"/>
                <w:kern w:val="2"/>
                <w:szCs w:val="21"/>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废气</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二氧化硫</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烟尘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工业粉尘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氮氧化物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工业固体废物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restart"/>
            <w:tcMar>
              <w:left w:w="57" w:type="dxa"/>
              <w:right w:w="57" w:type="dxa"/>
            </w:tcMar>
          </w:tcPr>
          <w:p>
            <w:pPr>
              <w:spacing w:after="0"/>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与项目有关的其他特征污染物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44" w:type="dxa"/>
            <w:tcMar>
              <w:left w:w="57" w:type="dxa"/>
              <w:right w:w="57" w:type="dxa"/>
            </w:tcMar>
            <w:vAlign w:val="center"/>
          </w:tcPr>
          <w:p>
            <w:pPr>
              <w:spacing w:after="0"/>
              <w:jc w:val="center"/>
              <w:rPr>
                <w:color w:val="000000"/>
                <w:kern w:val="2"/>
                <w:sz w:val="15"/>
                <w:szCs w:val="15"/>
              </w:rPr>
            </w:pPr>
          </w:p>
        </w:tc>
        <w:tc>
          <w:tcPr>
            <w:tcW w:w="1146"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gridSpan w:val="2"/>
            <w:tcMar>
              <w:left w:w="57" w:type="dxa"/>
              <w:right w:w="57" w:type="dxa"/>
            </w:tcMar>
            <w:vAlign w:val="center"/>
          </w:tcPr>
          <w:p>
            <w:pPr>
              <w:spacing w:after="0"/>
              <w:jc w:val="center"/>
              <w:rPr>
                <w:color w:val="000000"/>
                <w:kern w:val="2"/>
                <w:sz w:val="15"/>
                <w:szCs w:val="15"/>
              </w:rPr>
            </w:pPr>
          </w:p>
        </w:tc>
        <w:tc>
          <w:tcPr>
            <w:tcW w:w="1089" w:type="dxa"/>
            <w:gridSpan w:val="2"/>
            <w:tcMar>
              <w:left w:w="57" w:type="dxa"/>
              <w:right w:w="57" w:type="dxa"/>
            </w:tcMar>
            <w:vAlign w:val="center"/>
          </w:tcPr>
          <w:p>
            <w:pPr>
              <w:spacing w:after="0"/>
              <w:jc w:val="center"/>
              <w:rPr>
                <w:color w:val="000000"/>
                <w:kern w:val="2"/>
                <w:sz w:val="15"/>
                <w:szCs w:val="15"/>
              </w:rPr>
            </w:pPr>
          </w:p>
        </w:tc>
        <w:tc>
          <w:tcPr>
            <w:tcW w:w="1414" w:type="dxa"/>
            <w:gridSpan w:val="2"/>
            <w:tcMar>
              <w:left w:w="57" w:type="dxa"/>
              <w:right w:w="57" w:type="dxa"/>
            </w:tcMar>
            <w:vAlign w:val="center"/>
          </w:tcPr>
          <w:p>
            <w:pPr>
              <w:spacing w:after="0"/>
              <w:jc w:val="center"/>
              <w:rPr>
                <w:color w:val="000000"/>
                <w:kern w:val="2"/>
                <w:sz w:val="15"/>
                <w:szCs w:val="15"/>
              </w:rPr>
            </w:pPr>
          </w:p>
        </w:tc>
        <w:tc>
          <w:tcPr>
            <w:tcW w:w="1206"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tcPr>
          <w:p>
            <w:pPr>
              <w:spacing w:after="0"/>
              <w:jc w:val="center"/>
              <w:rPr>
                <w:color w:val="000000"/>
                <w:kern w:val="2"/>
                <w:sz w:val="15"/>
                <w:szCs w:val="15"/>
              </w:rPr>
            </w:pPr>
          </w:p>
        </w:tc>
        <w:tc>
          <w:tcPr>
            <w:tcW w:w="944" w:type="dxa"/>
            <w:tcMar>
              <w:left w:w="57" w:type="dxa"/>
              <w:right w:w="57" w:type="dxa"/>
            </w:tcMar>
          </w:tcPr>
          <w:p>
            <w:pPr>
              <w:spacing w:after="0"/>
              <w:jc w:val="center"/>
              <w:rPr>
                <w:color w:val="000000"/>
                <w:kern w:val="2"/>
                <w:sz w:val="15"/>
                <w:szCs w:val="15"/>
              </w:rPr>
            </w:pPr>
          </w:p>
        </w:tc>
        <w:tc>
          <w:tcPr>
            <w:tcW w:w="1146" w:type="dxa"/>
            <w:gridSpan w:val="2"/>
            <w:tcMar>
              <w:left w:w="57" w:type="dxa"/>
              <w:right w:w="57" w:type="dxa"/>
            </w:tcMar>
          </w:tcPr>
          <w:p>
            <w:pPr>
              <w:spacing w:after="0"/>
              <w:jc w:val="center"/>
              <w:rPr>
                <w:color w:val="000000"/>
                <w:kern w:val="2"/>
                <w:sz w:val="15"/>
                <w:szCs w:val="15"/>
              </w:rPr>
            </w:pPr>
          </w:p>
        </w:tc>
        <w:tc>
          <w:tcPr>
            <w:tcW w:w="1099" w:type="dxa"/>
            <w:gridSpan w:val="2"/>
            <w:tcMar>
              <w:left w:w="57" w:type="dxa"/>
              <w:right w:w="57" w:type="dxa"/>
            </w:tcMar>
          </w:tcPr>
          <w:p>
            <w:pPr>
              <w:spacing w:after="0"/>
              <w:jc w:val="center"/>
              <w:rPr>
                <w:color w:val="000000"/>
                <w:kern w:val="2"/>
                <w:sz w:val="15"/>
                <w:szCs w:val="15"/>
              </w:rPr>
            </w:pPr>
          </w:p>
        </w:tc>
        <w:tc>
          <w:tcPr>
            <w:tcW w:w="1237" w:type="dxa"/>
            <w:gridSpan w:val="2"/>
            <w:tcMar>
              <w:left w:w="57" w:type="dxa"/>
              <w:right w:w="57" w:type="dxa"/>
            </w:tcMar>
          </w:tcPr>
          <w:p>
            <w:pPr>
              <w:spacing w:after="0"/>
              <w:jc w:val="center"/>
              <w:rPr>
                <w:color w:val="000000"/>
                <w:kern w:val="2"/>
                <w:sz w:val="15"/>
                <w:szCs w:val="15"/>
              </w:rPr>
            </w:pPr>
          </w:p>
        </w:tc>
        <w:tc>
          <w:tcPr>
            <w:tcW w:w="1089" w:type="dxa"/>
            <w:gridSpan w:val="2"/>
            <w:tcMar>
              <w:left w:w="57" w:type="dxa"/>
              <w:right w:w="57" w:type="dxa"/>
            </w:tcMar>
          </w:tcPr>
          <w:p>
            <w:pPr>
              <w:spacing w:after="0"/>
              <w:jc w:val="center"/>
              <w:rPr>
                <w:color w:val="000000"/>
                <w:kern w:val="2"/>
                <w:sz w:val="15"/>
                <w:szCs w:val="15"/>
              </w:rPr>
            </w:pPr>
          </w:p>
        </w:tc>
        <w:tc>
          <w:tcPr>
            <w:tcW w:w="1414" w:type="dxa"/>
            <w:gridSpan w:val="2"/>
            <w:tcMar>
              <w:left w:w="57" w:type="dxa"/>
              <w:right w:w="57" w:type="dxa"/>
            </w:tcMar>
          </w:tcPr>
          <w:p>
            <w:pPr>
              <w:spacing w:after="0"/>
              <w:jc w:val="center"/>
              <w:rPr>
                <w:color w:val="000000"/>
                <w:kern w:val="2"/>
                <w:sz w:val="15"/>
                <w:szCs w:val="15"/>
              </w:rPr>
            </w:pPr>
          </w:p>
        </w:tc>
        <w:tc>
          <w:tcPr>
            <w:tcW w:w="1206" w:type="dxa"/>
            <w:gridSpan w:val="2"/>
            <w:tcMar>
              <w:left w:w="57" w:type="dxa"/>
              <w:right w:w="57" w:type="dxa"/>
            </w:tcMar>
          </w:tcPr>
          <w:p>
            <w:pPr>
              <w:spacing w:after="0"/>
              <w:jc w:val="center"/>
              <w:rPr>
                <w:color w:val="000000"/>
                <w:kern w:val="2"/>
                <w:sz w:val="15"/>
                <w:szCs w:val="15"/>
              </w:rPr>
            </w:pPr>
          </w:p>
        </w:tc>
        <w:tc>
          <w:tcPr>
            <w:tcW w:w="1244" w:type="dxa"/>
            <w:gridSpan w:val="2"/>
            <w:tcMar>
              <w:left w:w="57" w:type="dxa"/>
              <w:right w:w="57" w:type="dxa"/>
            </w:tcMar>
          </w:tcPr>
          <w:p>
            <w:pPr>
              <w:spacing w:after="0"/>
              <w:jc w:val="center"/>
              <w:rPr>
                <w:color w:val="000000"/>
                <w:kern w:val="2"/>
                <w:sz w:val="15"/>
                <w:szCs w:val="15"/>
              </w:rPr>
            </w:pPr>
          </w:p>
        </w:tc>
        <w:tc>
          <w:tcPr>
            <w:tcW w:w="1102" w:type="dxa"/>
            <w:gridSpan w:val="2"/>
            <w:tcMar>
              <w:left w:w="57" w:type="dxa"/>
              <w:right w:w="57" w:type="dxa"/>
            </w:tcMar>
          </w:tcPr>
          <w:p>
            <w:pPr>
              <w:spacing w:after="0"/>
              <w:jc w:val="center"/>
              <w:rPr>
                <w:color w:val="000000"/>
                <w:kern w:val="2"/>
                <w:sz w:val="15"/>
                <w:szCs w:val="15"/>
              </w:rPr>
            </w:pPr>
          </w:p>
        </w:tc>
        <w:tc>
          <w:tcPr>
            <w:tcW w:w="1034" w:type="dxa"/>
            <w:gridSpan w:val="2"/>
            <w:tcMar>
              <w:left w:w="57" w:type="dxa"/>
              <w:right w:w="57" w:type="dxa"/>
            </w:tcMar>
          </w:tcPr>
          <w:p>
            <w:pPr>
              <w:spacing w:after="0"/>
              <w:jc w:val="center"/>
              <w:rPr>
                <w:color w:val="000000"/>
                <w:kern w:val="2"/>
                <w:sz w:val="15"/>
                <w:szCs w:val="15"/>
              </w:rPr>
            </w:pPr>
          </w:p>
        </w:tc>
      </w:tr>
    </w:tbl>
    <w:p>
      <w:pPr>
        <w:spacing w:after="0"/>
        <w:rPr>
          <w:rFonts w:ascii="宋体" w:hAnsi="宋体" w:eastAsia="宋体" w:cs="宋体"/>
          <w:b/>
          <w:color w:val="000000"/>
          <w:sz w:val="21"/>
          <w:szCs w:val="21"/>
        </w:rPr>
        <w:sectPr>
          <w:footerReference r:id="rId13" w:type="default"/>
          <w:pgSz w:w="16838" w:h="11906" w:orient="landscape"/>
          <w:pgMar w:top="1800" w:right="1440" w:bottom="1800" w:left="1440" w:header="708" w:footer="708" w:gutter="0"/>
          <w:cols w:space="720" w:num="1"/>
          <w:docGrid w:linePitch="360" w:charSpace="0"/>
        </w:sectPr>
      </w:pPr>
      <w:r>
        <w:rPr>
          <w:rFonts w:hint="eastAsia" w:ascii="宋体" w:hAnsi="宋体" w:eastAsia="宋体" w:cs="宋体"/>
          <w:b/>
          <w:color w:val="000000"/>
          <w:sz w:val="21"/>
          <w:szCs w:val="21"/>
        </w:rPr>
        <w:t>注</w:t>
      </w:r>
      <w:r>
        <w:rPr>
          <w:rFonts w:hint="eastAsia" w:ascii="宋体" w:hAnsi="宋体" w:eastAsia="宋体" w:cs="宋体"/>
          <w:color w:val="000000"/>
          <w:sz w:val="21"/>
          <w:szCs w:val="21"/>
        </w:rPr>
        <w:t>：1、</w:t>
      </w:r>
      <w:r>
        <w:rPr>
          <w:rFonts w:hint="eastAsia" w:ascii="宋体" w:hAnsi="宋体" w:eastAsia="宋体" w:cs="宋体"/>
          <w:color w:val="000000"/>
          <w:spacing w:val="-4"/>
          <w:sz w:val="21"/>
          <w:szCs w:val="21"/>
        </w:rPr>
        <w:t>排放增减量：（+）表示增加，（-）表示减少。2、(12)=(6)-(8)-(11)，（9）= (4)-(5)-(8)- (11) +（1）。3、计量单位：废水排放量——万吨/年；废气排放量——万标立方米/年；工业固体废物排放</w:t>
      </w:r>
      <w:r>
        <w:rPr>
          <w:rFonts w:hint="eastAsia" w:ascii="宋体" w:hAnsi="宋体" w:eastAsia="宋体" w:cs="宋体"/>
          <w:color w:val="000000"/>
          <w:sz w:val="21"/>
          <w:szCs w:val="21"/>
        </w:rPr>
        <w:t>量——万吨/年；水污染物排放浓度——毫克/升</w:t>
      </w: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rFonts w:hint="eastAsia"/>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0"/>
        <w:spacing w:after="0"/>
        <w:ind w:firstLine="0" w:firstLineChars="0"/>
        <w:jc w:val="center"/>
        <w:rPr>
          <w:rFonts w:eastAsia="宋体"/>
          <w:b/>
          <w:bCs/>
          <w:sz w:val="72"/>
          <w:szCs w:val="72"/>
        </w:rPr>
      </w:pPr>
      <w:bookmarkStart w:id="18" w:name="_Toc13200_WPSOffice_Level2"/>
      <w:r>
        <w:rPr>
          <w:rFonts w:hint="eastAsia" w:eastAsia="宋体"/>
          <w:b/>
          <w:bCs/>
          <w:sz w:val="72"/>
          <w:szCs w:val="72"/>
        </w:rPr>
        <w:t>第</w:t>
      </w:r>
      <w:bookmarkEnd w:id="18"/>
    </w:p>
    <w:p>
      <w:pPr>
        <w:pStyle w:val="6"/>
        <w:spacing w:after="0" w:line="360" w:lineRule="auto"/>
        <w:ind w:firstLine="0" w:firstLineChars="0"/>
        <w:jc w:val="center"/>
        <w:rPr>
          <w:rFonts w:ascii="宋体" w:hAnsi="宋体" w:eastAsia="宋体" w:cs="宋体"/>
          <w:b/>
          <w:bCs/>
          <w:sz w:val="72"/>
          <w:szCs w:val="72"/>
        </w:rPr>
      </w:pPr>
      <w:bookmarkStart w:id="19" w:name="_Toc31019_WPSOffice_Level2"/>
      <w:r>
        <w:rPr>
          <w:rFonts w:hint="eastAsia" w:ascii="宋体" w:hAnsi="宋体" w:eastAsia="宋体" w:cs="宋体"/>
          <w:b/>
          <w:bCs/>
          <w:sz w:val="72"/>
          <w:szCs w:val="72"/>
        </w:rPr>
        <w:t>二</w:t>
      </w:r>
      <w:bookmarkEnd w:id="19"/>
    </w:p>
    <w:p>
      <w:pPr>
        <w:pStyle w:val="6"/>
        <w:spacing w:after="0" w:line="360" w:lineRule="auto"/>
        <w:ind w:firstLine="0" w:firstLineChars="0"/>
        <w:jc w:val="center"/>
        <w:rPr>
          <w:rFonts w:ascii="宋体" w:hAnsi="宋体" w:eastAsia="宋体" w:cs="宋体"/>
          <w:b/>
          <w:bCs/>
          <w:sz w:val="72"/>
          <w:szCs w:val="72"/>
        </w:rPr>
      </w:pPr>
      <w:bookmarkStart w:id="20" w:name="_Toc9754_WPSOffice_Level2"/>
      <w:r>
        <w:rPr>
          <w:rFonts w:hint="eastAsia" w:ascii="宋体" w:hAnsi="宋体" w:eastAsia="宋体" w:cs="宋体"/>
          <w:b/>
          <w:bCs/>
          <w:sz w:val="72"/>
          <w:szCs w:val="72"/>
        </w:rPr>
        <w:t>部</w:t>
      </w:r>
      <w:bookmarkEnd w:id="20"/>
    </w:p>
    <w:p>
      <w:pPr>
        <w:pStyle w:val="6"/>
        <w:spacing w:after="0" w:line="360" w:lineRule="auto"/>
        <w:ind w:firstLine="0" w:firstLineChars="0"/>
        <w:jc w:val="center"/>
        <w:rPr>
          <w:rFonts w:ascii="宋体" w:hAnsi="宋体" w:eastAsia="宋体" w:cs="宋体"/>
          <w:b/>
          <w:bCs/>
          <w:sz w:val="72"/>
          <w:szCs w:val="72"/>
        </w:rPr>
      </w:pPr>
      <w:bookmarkStart w:id="21" w:name="_Toc22459_WPSOffice_Level2"/>
      <w:r>
        <w:rPr>
          <w:rFonts w:hint="eastAsia" w:ascii="宋体" w:hAnsi="宋体" w:eastAsia="宋体" w:cs="宋体"/>
          <w:b/>
          <w:bCs/>
          <w:sz w:val="72"/>
          <w:szCs w:val="72"/>
        </w:rPr>
        <w:t>份</w:t>
      </w:r>
      <w:bookmarkEnd w:id="21"/>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13"/>
        <w:shd w:val="clear" w:color="auto" w:fill="FFFFFF"/>
        <w:spacing w:beforeAutospacing="0" w:afterAutospacing="0"/>
        <w:jc w:val="both"/>
        <w:rPr>
          <w:rFonts w:ascii="宋体" w:hAnsi="宋体" w:eastAsia="宋体" w:cs="宋体"/>
          <w:b/>
          <w:bCs/>
          <w:spacing w:val="-23"/>
          <w:sz w:val="32"/>
          <w:szCs w:val="32"/>
        </w:rPr>
        <w:sectPr>
          <w:pgSz w:w="11906" w:h="16838"/>
          <w:pgMar w:top="1440" w:right="1800" w:bottom="1440" w:left="1800" w:header="708" w:footer="708" w:gutter="0"/>
          <w:cols w:space="720" w:num="1"/>
          <w:docGrid w:linePitch="360" w:charSpace="0"/>
        </w:sectPr>
      </w:pPr>
    </w:p>
    <w:p>
      <w:pPr>
        <w:pStyle w:val="13"/>
        <w:shd w:val="clear" w:color="auto" w:fill="FFFFFF"/>
        <w:spacing w:beforeAutospacing="0" w:afterAutospacing="0" w:line="380" w:lineRule="exact"/>
        <w:jc w:val="center"/>
        <w:rPr>
          <w:rFonts w:ascii="宋体" w:hAnsi="宋体" w:eastAsia="宋体" w:cs="宋体"/>
          <w:b/>
          <w:bCs/>
          <w:spacing w:val="-20"/>
          <w:sz w:val="36"/>
          <w:szCs w:val="36"/>
        </w:rPr>
      </w:pPr>
      <w:r>
        <w:rPr>
          <w:rFonts w:hint="eastAsia" w:ascii="宋体" w:hAnsi="宋体" w:eastAsia="宋体" w:cs="宋体"/>
          <w:b/>
          <w:bCs/>
          <w:spacing w:val="-20"/>
          <w:sz w:val="36"/>
          <w:szCs w:val="36"/>
        </w:rPr>
        <w:t>兴义市苗通外用膏贴生产线建设项目</w:t>
      </w:r>
      <w:r>
        <w:rPr>
          <w:rFonts w:hint="eastAsia" w:ascii="宋体" w:hAnsi="宋体" w:eastAsia="宋体" w:cs="宋体"/>
          <w:b/>
          <w:bCs/>
          <w:color w:val="000000"/>
          <w:spacing w:val="-20"/>
          <w:sz w:val="36"/>
          <w:szCs w:val="36"/>
        </w:rPr>
        <w:t>竣工</w:t>
      </w:r>
    </w:p>
    <w:p>
      <w:pPr>
        <w:pStyle w:val="13"/>
        <w:shd w:val="clear" w:color="auto" w:fill="FFFFFF"/>
        <w:spacing w:beforeAutospacing="0" w:afterAutospacing="0" w:line="380" w:lineRule="exact"/>
        <w:jc w:val="center"/>
        <w:rPr>
          <w:rFonts w:ascii="宋体" w:hAnsi="宋体" w:eastAsia="宋体" w:cs="宋体"/>
          <w:b/>
          <w:bCs/>
          <w:color w:val="000000"/>
          <w:sz w:val="28"/>
          <w:szCs w:val="28"/>
        </w:rPr>
      </w:pPr>
      <w:r>
        <w:rPr>
          <w:rFonts w:hint="eastAsia" w:ascii="宋体" w:hAnsi="宋体" w:eastAsia="宋体" w:cs="宋体"/>
          <w:b/>
          <w:bCs/>
          <w:color w:val="000000"/>
          <w:sz w:val="36"/>
          <w:szCs w:val="36"/>
        </w:rPr>
        <w:t>环境保护验收意见</w:t>
      </w:r>
    </w:p>
    <w:p>
      <w:pPr>
        <w:pStyle w:val="13"/>
        <w:shd w:val="clear" w:color="auto" w:fill="FFFFFF"/>
        <w:spacing w:beforeAutospacing="0" w:after="0" w:afterAutospacing="0" w:line="120" w:lineRule="exact"/>
        <w:ind w:firstLine="560" w:firstLineChars="200"/>
        <w:jc w:val="both"/>
        <w:rPr>
          <w:rFonts w:hint="eastAsia" w:ascii="宋体" w:hAnsi="宋体" w:eastAsia="宋体" w:cs="宋体"/>
          <w:color w:val="000000"/>
          <w:sz w:val="28"/>
          <w:szCs w:val="28"/>
        </w:rPr>
      </w:pPr>
    </w:p>
    <w:p>
      <w:pPr>
        <w:pStyle w:val="13"/>
        <w:shd w:val="clear" w:color="auto" w:fill="FFFFFF"/>
        <w:spacing w:beforeAutospacing="0" w:after="0" w:afterAutospacing="0" w:line="500" w:lineRule="exact"/>
        <w:ind w:firstLine="560" w:firstLineChars="200"/>
        <w:jc w:val="both"/>
        <w:rPr>
          <w:rFonts w:ascii="宋体" w:hAnsi="宋体" w:eastAsia="宋体" w:cs="宋体"/>
          <w:color w:val="3E3E3E"/>
          <w:spacing w:val="8"/>
          <w:sz w:val="28"/>
          <w:szCs w:val="28"/>
        </w:rPr>
      </w:pPr>
      <w:r>
        <w:rPr>
          <w:rFonts w:hint="eastAsia" w:ascii="宋体" w:hAnsi="宋体" w:eastAsia="宋体" w:cs="宋体"/>
          <w:color w:val="000000"/>
          <w:sz w:val="28"/>
          <w:szCs w:val="28"/>
        </w:rPr>
        <w:t xml:space="preserve">2019年 </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日，贵州苗通生物医药开发有限公司，根据《兴义市苗通外用膏贴生产线建设项目竣工环境保护验收监测报告表》，并对照《建设项目竣工环境保护验收暂行办法》，严格依照国家有关法律法规、建设项目竣工环境保护验收技术指南、本项目环境影响评价报告表和审批部门审批决定等要求对本项目</w:t>
      </w:r>
      <w:r>
        <w:rPr>
          <w:rFonts w:hint="eastAsia" w:ascii="宋体" w:hAnsi="宋体" w:eastAsia="宋体" w:cs="宋体"/>
          <w:color w:val="000000"/>
          <w:spacing w:val="8"/>
          <w:sz w:val="28"/>
          <w:szCs w:val="28"/>
        </w:rPr>
        <w:t>进行验收，提出意见如下：</w:t>
      </w:r>
    </w:p>
    <w:p>
      <w:pPr>
        <w:pStyle w:val="13"/>
        <w:shd w:val="clear" w:color="auto" w:fill="FFFFFF"/>
        <w:spacing w:beforeAutospacing="0" w:after="0" w:afterAutospacing="0" w:line="500" w:lineRule="exact"/>
        <w:ind w:firstLine="562" w:firstLineChars="200"/>
        <w:jc w:val="both"/>
        <w:rPr>
          <w:rFonts w:ascii="宋体" w:hAnsi="宋体" w:eastAsia="宋体" w:cs="宋体"/>
          <w:b/>
          <w:bCs/>
          <w:color w:val="3E3E3E"/>
          <w:sz w:val="28"/>
          <w:szCs w:val="28"/>
        </w:rPr>
      </w:pPr>
      <w:bookmarkStart w:id="22" w:name="_Toc17533_WPSOffice_Level2"/>
      <w:r>
        <w:rPr>
          <w:rFonts w:hint="eastAsia" w:ascii="宋体" w:hAnsi="宋体" w:eastAsia="宋体" w:cs="宋体"/>
          <w:b/>
          <w:bCs/>
          <w:color w:val="000000"/>
          <w:sz w:val="28"/>
          <w:szCs w:val="28"/>
        </w:rPr>
        <w:t>一、工程建设基本情况</w:t>
      </w:r>
      <w:bookmarkEnd w:id="22"/>
    </w:p>
    <w:p>
      <w:pPr>
        <w:pStyle w:val="13"/>
        <w:shd w:val="clear" w:color="auto" w:fill="FFFFFF"/>
        <w:spacing w:beforeAutospacing="0" w:after="0" w:afterAutospacing="0" w:line="500" w:lineRule="exact"/>
        <w:ind w:firstLine="562" w:firstLineChars="200"/>
        <w:jc w:val="both"/>
        <w:rPr>
          <w:rFonts w:ascii="宋体" w:hAnsi="宋体" w:eastAsia="宋体" w:cs="宋体"/>
          <w:b/>
          <w:bCs/>
          <w:color w:val="000000"/>
          <w:sz w:val="28"/>
          <w:szCs w:val="28"/>
        </w:rPr>
      </w:pPr>
      <w:r>
        <w:rPr>
          <w:rFonts w:hint="eastAsia" w:ascii="宋体" w:hAnsi="宋体" w:eastAsia="宋体" w:cs="宋体"/>
          <w:b/>
          <w:bCs/>
          <w:color w:val="000000"/>
          <w:sz w:val="28"/>
          <w:szCs w:val="28"/>
        </w:rPr>
        <w:t>（一）建设地点、规模、主要建设内容</w:t>
      </w:r>
    </w:p>
    <w:p>
      <w:pPr>
        <w:spacing w:after="0" w:line="500" w:lineRule="exact"/>
        <w:ind w:firstLine="560" w:firstLineChars="200"/>
        <w:outlineLvl w:val="1"/>
        <w:rPr>
          <w:rFonts w:ascii="宋体" w:hAnsi="宋体" w:eastAsia="宋体" w:cs="宋体"/>
          <w:color w:val="000000"/>
          <w:sz w:val="28"/>
          <w:szCs w:val="28"/>
        </w:rPr>
      </w:pPr>
      <w:r>
        <w:rPr>
          <w:rFonts w:hint="eastAsia" w:ascii="宋体" w:hAnsi="宋体" w:eastAsia="宋体" w:cs="宋体"/>
          <w:color w:val="000000"/>
          <w:sz w:val="28"/>
          <w:szCs w:val="28"/>
        </w:rPr>
        <w:t>本项目位于兴义市洒金村，项目总投资339万元。该公司租赁厂房项目占地面积540平方米，为五层，建筑面积2700平方米。一层包括货厅，物料暂存间，基质植被、涂布、切片间，容器存放间，容器洗涤间，洁具间，公用系统空调机空压机，脱外包间，称量间，内包封口间，贴片、充磁间，中间站，管理间，配电房，粉剂混合，粉剂分装，液体配置、分装，中控室，值班室，女更衣，男更衣，更鞋，洗手消毒；二层包括外包间，成品库，洁具间，洗手消毒，女更衣，男更衣，更鞋，管理间，男卫，洗手台，女卫，不合格品库，退货品库；三层包括内包材区，原材料区，洗手间，纸盒存放区，滤纸、卷膜，危险品库，医用透气胶带，外箱存放区；四层预留；五层包括会议室，天平室，预留间，留样室，检验室，男卫，女卫，洗手台，财务室，副总办公室，综合办公室，总经理办公室，档案室。项目年产体痛穴位贴2000箱、小儿腹泻理疗贴2000箱、儿童感冒咳嗽理疗贴2000箱和咳喘理疗贴500箱。</w:t>
      </w:r>
    </w:p>
    <w:p>
      <w:pPr>
        <w:spacing w:after="0" w:line="50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（二）建设过程及环保审批情况</w:t>
      </w:r>
    </w:p>
    <w:p>
      <w:pPr>
        <w:spacing w:after="0" w:line="500" w:lineRule="exact"/>
        <w:ind w:firstLine="560" w:firstLineChars="200"/>
        <w:rPr>
          <w:rFonts w:ascii="宋体" w:hAnsi="宋体" w:eastAsia="宋体" w:cs="宋体"/>
          <w:sz w:val="28"/>
          <w:szCs w:val="28"/>
        </w:rPr>
      </w:pPr>
      <w:r>
        <w:rPr>
          <w:rFonts w:hint="eastAsia" w:ascii="宋体" w:hAnsi="宋体" w:eastAsia="宋体" w:cs="宋体"/>
          <w:sz w:val="28"/>
          <w:szCs w:val="28"/>
        </w:rPr>
        <w:t>2018年7月贵州苗通生物医药开发有限公司报批了由贵州绿宏环保科技有限公司编制的《兴义市苗通外用膏贴生产线建设项目》环境影响报告表，2018年7月取得了黔西南州环境保护局关于《兴义市苗通外用膏贴生产线建设项目环境影响报告表》核准的批复（州环核[2018]08号）。项目于2018年8月建设，2018年10月试运行，现有职工30人，工作日为250天，每天1班。本项目建设竣工至今无环境投诉。</w:t>
      </w:r>
    </w:p>
    <w:p>
      <w:pPr>
        <w:spacing w:after="0" w:line="500" w:lineRule="exact"/>
        <w:ind w:firstLine="562" w:firstLineChars="200"/>
        <w:outlineLvl w:val="1"/>
        <w:rPr>
          <w:rFonts w:ascii="宋体" w:hAnsi="宋体" w:eastAsia="宋体" w:cs="宋体"/>
          <w:b/>
          <w:bCs/>
          <w:sz w:val="28"/>
          <w:szCs w:val="28"/>
        </w:rPr>
      </w:pPr>
      <w:r>
        <w:rPr>
          <w:rFonts w:hint="eastAsia" w:ascii="宋体" w:hAnsi="宋体" w:eastAsia="宋体" w:cs="宋体"/>
          <w:b/>
          <w:sz w:val="28"/>
          <w:szCs w:val="28"/>
        </w:rPr>
        <w:t>（三）投资情况</w:t>
      </w:r>
    </w:p>
    <w:p>
      <w:pPr>
        <w:spacing w:after="0" w:line="500" w:lineRule="exact"/>
        <w:ind w:firstLine="560" w:firstLineChars="200"/>
        <w:rPr>
          <w:rFonts w:ascii="宋体" w:hAnsi="宋体" w:eastAsia="宋体" w:cs="宋体"/>
          <w:b/>
          <w:sz w:val="28"/>
          <w:szCs w:val="28"/>
        </w:rPr>
      </w:pPr>
      <w:r>
        <w:rPr>
          <w:rFonts w:hint="eastAsia" w:ascii="宋体" w:hAnsi="宋体" w:eastAsia="宋体" w:cs="宋体"/>
          <w:sz w:val="28"/>
          <w:szCs w:val="28"/>
        </w:rPr>
        <w:t>项目环评指标投资总概算339万元，环保投资总概算</w:t>
      </w:r>
      <w:r>
        <w:rPr>
          <w:rFonts w:hint="eastAsia" w:ascii="宋体" w:hAnsi="宋体" w:eastAsia="宋体" w:cs="宋体"/>
          <w:color w:val="000000"/>
          <w:sz w:val="28"/>
          <w:szCs w:val="28"/>
        </w:rPr>
        <w:t>8.2</w:t>
      </w:r>
      <w:r>
        <w:rPr>
          <w:rFonts w:hint="eastAsia" w:ascii="宋体" w:hAnsi="宋体" w:eastAsia="宋体" w:cs="宋体"/>
          <w:sz w:val="28"/>
          <w:szCs w:val="28"/>
        </w:rPr>
        <w:t>万元，比例2.42%。实际总概算与环评所述一致。</w:t>
      </w:r>
    </w:p>
    <w:p>
      <w:pPr>
        <w:numPr>
          <w:ilvl w:val="0"/>
          <w:numId w:val="7"/>
        </w:numPr>
        <w:spacing w:after="0" w:line="50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验收范围</w:t>
      </w:r>
    </w:p>
    <w:p>
      <w:pPr>
        <w:pStyle w:val="13"/>
        <w:shd w:val="clear" w:color="auto" w:fill="FFFFFF"/>
        <w:spacing w:beforeAutospacing="0" w:after="0" w:afterAutospacing="0" w:line="500" w:lineRule="exact"/>
        <w:ind w:firstLine="560" w:firstLineChars="200"/>
        <w:jc w:val="both"/>
        <w:rPr>
          <w:rFonts w:ascii="宋体" w:hAnsi="宋体" w:eastAsia="宋体" w:cs="宋体"/>
          <w:kern w:val="2"/>
          <w:sz w:val="28"/>
          <w:szCs w:val="28"/>
        </w:rPr>
      </w:pPr>
      <w:r>
        <w:rPr>
          <w:rFonts w:hint="eastAsia" w:ascii="宋体" w:hAnsi="宋体" w:eastAsia="宋体" w:cs="宋体"/>
          <w:sz w:val="28"/>
          <w:szCs w:val="28"/>
        </w:rPr>
        <w:t>1、</w:t>
      </w:r>
      <w:r>
        <w:rPr>
          <w:rFonts w:hint="eastAsia" w:ascii="宋体" w:hAnsi="宋体" w:eastAsia="宋体" w:cs="宋体"/>
          <w:kern w:val="2"/>
          <w:sz w:val="28"/>
          <w:szCs w:val="28"/>
        </w:rPr>
        <w:t>与本建设项目有关的环境保护设施，包括为防治污染和保护环境所建成或配备的工程、设备、装置和监测手段。</w:t>
      </w:r>
    </w:p>
    <w:p>
      <w:pPr>
        <w:pStyle w:val="20"/>
        <w:spacing w:after="0" w:line="500" w:lineRule="exact"/>
        <w:ind w:firstLine="560"/>
        <w:rPr>
          <w:rFonts w:eastAsia="宋体"/>
          <w:kern w:val="2"/>
          <w:sz w:val="28"/>
          <w:szCs w:val="28"/>
        </w:rPr>
      </w:pPr>
      <w:r>
        <w:rPr>
          <w:rFonts w:hint="eastAsia" w:eastAsia="宋体"/>
          <w:kern w:val="2"/>
          <w:sz w:val="28"/>
          <w:szCs w:val="28"/>
        </w:rPr>
        <w:t>2、环境影响报告表和有关项目设计文件规定应采取的其他环境保护措施。</w:t>
      </w:r>
    </w:p>
    <w:p>
      <w:pPr>
        <w:pStyle w:val="13"/>
        <w:shd w:val="clear" w:color="auto" w:fill="FFFFFF"/>
        <w:spacing w:before="120" w:beforeAutospacing="0" w:after="0" w:afterAutospacing="0" w:line="500" w:lineRule="exact"/>
        <w:ind w:firstLine="562" w:firstLineChars="200"/>
        <w:jc w:val="both"/>
        <w:rPr>
          <w:rFonts w:ascii="宋体" w:hAnsi="宋体" w:eastAsia="宋体" w:cs="宋体"/>
          <w:b/>
          <w:bCs/>
          <w:kern w:val="2"/>
          <w:sz w:val="28"/>
          <w:szCs w:val="28"/>
        </w:rPr>
      </w:pPr>
      <w:bookmarkStart w:id="23" w:name="_Toc14452_WPSOffice_Level2"/>
      <w:r>
        <w:rPr>
          <w:rFonts w:hint="eastAsia" w:ascii="宋体" w:hAnsi="宋体" w:eastAsia="宋体" w:cs="宋体"/>
          <w:b/>
          <w:bCs/>
          <w:kern w:val="2"/>
          <w:sz w:val="28"/>
          <w:szCs w:val="28"/>
        </w:rPr>
        <w:t>二、建设项目变动情况</w:t>
      </w:r>
      <w:bookmarkEnd w:id="23"/>
    </w:p>
    <w:p>
      <w:pPr>
        <w:spacing w:after="0" w:line="500" w:lineRule="exact"/>
        <w:ind w:firstLine="560" w:firstLineChars="200"/>
        <w:rPr>
          <w:rFonts w:ascii="宋体" w:hAnsi="宋体" w:eastAsia="宋体" w:cs="宋体"/>
          <w:sz w:val="28"/>
          <w:szCs w:val="28"/>
        </w:rPr>
      </w:pPr>
      <w:bookmarkStart w:id="24" w:name="_Toc12358_WPSOffice_Level2"/>
      <w:r>
        <w:rPr>
          <w:rFonts w:hint="eastAsia" w:ascii="宋体" w:hAnsi="宋体" w:eastAsia="宋体" w:cs="宋体"/>
          <w:sz w:val="28"/>
          <w:szCs w:val="28"/>
        </w:rPr>
        <w:t>本项目基本按照环评报告表及其批复要求建设，建设项目的性质、规模、地点、采取的污染防治措施无重大变化。</w:t>
      </w:r>
    </w:p>
    <w:p>
      <w:pPr>
        <w:spacing w:after="0" w:line="500" w:lineRule="exact"/>
        <w:ind w:firstLine="562" w:firstLineChars="200"/>
        <w:rPr>
          <w:rFonts w:ascii="宋体" w:hAnsi="宋体" w:eastAsia="宋体" w:cs="宋体"/>
          <w:b/>
          <w:sz w:val="28"/>
          <w:szCs w:val="28"/>
        </w:rPr>
      </w:pPr>
      <w:r>
        <w:rPr>
          <w:rFonts w:hint="eastAsia" w:ascii="宋体" w:hAnsi="宋体" w:eastAsia="宋体" w:cs="宋体"/>
          <w:b/>
          <w:sz w:val="28"/>
          <w:szCs w:val="28"/>
        </w:rPr>
        <w:t>三、环境保护设施建设情况</w:t>
      </w:r>
      <w:bookmarkEnd w:id="24"/>
    </w:p>
    <w:p>
      <w:pPr>
        <w:spacing w:after="0" w:line="500" w:lineRule="exact"/>
        <w:ind w:firstLine="562" w:firstLineChars="200"/>
        <w:rPr>
          <w:rFonts w:ascii="宋体" w:hAnsi="宋体" w:eastAsia="宋体" w:cs="宋体"/>
          <w:b/>
          <w:sz w:val="28"/>
          <w:szCs w:val="28"/>
        </w:rPr>
      </w:pPr>
      <w:r>
        <w:rPr>
          <w:rFonts w:hint="eastAsia" w:ascii="宋体" w:hAnsi="宋体" w:eastAsia="宋体" w:cs="宋体"/>
          <w:b/>
          <w:sz w:val="28"/>
          <w:szCs w:val="28"/>
        </w:rPr>
        <w:t>（一）废气</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（1）槽型混合机产生少量粉尘</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项目原料高岭土、远红外纳米粉、磁性材料和基质均采用密封袋装，混合机倒料口安装捕尘器，再倒料前，先开启捕尘器，进入混合机后，盖上盖子，全封闭式混合。在倒料阶段产生的少量粉尘经过捕尘器收集后，不外排，回用于生产；在混合过程中，在槽型混合机中全封闭式混合，无外排粉尘。混合阶段粉尘对环境影响较小。</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（2）加工废气</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项目加工过程温度较低，且在混合阶段密闭，并且生产车间的装修是按照无菌实验室要求装修，在制片和贴片间安装有</w:t>
      </w:r>
      <w:r>
        <w:rPr>
          <w:rFonts w:hint="eastAsia" w:ascii="宋体" w:hAnsi="宋体" w:eastAsia="宋体" w:cs="宋体"/>
          <w:sz w:val="28"/>
          <w:szCs w:val="28"/>
          <w:lang w:eastAsia="zh-CN"/>
        </w:rPr>
        <w:t>吸气</w:t>
      </w:r>
      <w:r>
        <w:rPr>
          <w:rFonts w:hint="eastAsia" w:ascii="宋体" w:hAnsi="宋体" w:eastAsia="宋体" w:cs="宋体"/>
          <w:sz w:val="28"/>
          <w:szCs w:val="28"/>
        </w:rPr>
        <w:t>扇，气体通过排风扇进入活性炭过滤装置，由管道引至楼顶排放，生产工人在生产过程中采取佩戴口罩。项目挥发性有机物产生量较小，对周围居民和生产工人影响较小。</w:t>
      </w:r>
    </w:p>
    <w:p>
      <w:pPr>
        <w:widowControl w:val="0"/>
        <w:spacing w:after="0" w:line="50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（二）废水</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废水主要为地面清洗废水和职工生活污水，经过标准厂房独立化粪池处理后达到《污水综合排放标准》（GB8978-1996）表4中三级标准，汇入污水管网，进入市政污水管网，排入下五屯污水处理厂处理达《城镇污水处理厂污染物排放标准》中一级A标准后排入纳灰河。</w:t>
      </w:r>
    </w:p>
    <w:p>
      <w:pPr>
        <w:widowControl w:val="0"/>
        <w:spacing w:after="0" w:line="500" w:lineRule="exact"/>
        <w:ind w:firstLine="562" w:firstLineChars="200"/>
        <w:jc w:val="both"/>
        <w:rPr>
          <w:rFonts w:ascii="宋体" w:hAnsi="宋体" w:eastAsia="宋体" w:cs="宋体"/>
          <w:sz w:val="28"/>
          <w:szCs w:val="28"/>
        </w:rPr>
      </w:pPr>
      <w:r>
        <w:rPr>
          <w:rFonts w:hint="eastAsia" w:ascii="宋体" w:hAnsi="宋体" w:eastAsia="宋体" w:cs="宋体"/>
          <w:b/>
          <w:bCs/>
          <w:sz w:val="28"/>
          <w:szCs w:val="28"/>
        </w:rPr>
        <w:t>（三）噪声</w:t>
      </w:r>
    </w:p>
    <w:p>
      <w:pPr>
        <w:widowControl w:val="0"/>
        <w:spacing w:after="0" w:line="500" w:lineRule="exact"/>
        <w:ind w:firstLine="560" w:firstLineChars="200"/>
        <w:jc w:val="both"/>
        <w:rPr>
          <w:rFonts w:ascii="宋体" w:hAnsi="宋体" w:eastAsia="宋体" w:cs="宋体"/>
          <w:b/>
          <w:bCs/>
          <w:sz w:val="28"/>
          <w:szCs w:val="28"/>
        </w:rPr>
      </w:pPr>
      <w:r>
        <w:rPr>
          <w:rFonts w:hint="eastAsia" w:ascii="宋体" w:hAnsi="宋体" w:eastAsia="宋体" w:cs="宋体"/>
          <w:sz w:val="28"/>
          <w:szCs w:val="28"/>
        </w:rPr>
        <w:t>项目生产设备采取隔音、减震、消声措施；加强设备的维修保养，适时添加润滑剂防止设备老化；合理布置车间，尽量将产噪设备远离敏感目标，排风扇在装修制片和贴片间时安装于房屋顶面，经过房屋双层墙体衰减，空调外机安装于楼顶，采用防声罩处理；对于车辆噪声应限速行驶，尤其在夜间禁鸣喇叭，合理安排运输时间，尽量避开中午12：00~14：00及夜间22:00~次日06:00运输。</w:t>
      </w:r>
    </w:p>
    <w:p>
      <w:pPr>
        <w:widowControl w:val="0"/>
        <w:spacing w:after="0" w:line="50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（四）固体废物</w:t>
      </w:r>
    </w:p>
    <w:p>
      <w:pPr>
        <w:widowControl w:val="0"/>
        <w:spacing w:after="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项目固废为原材料包装箱、盛装桉油和乙醇容器、制片和贴片产生的边料、生活垃圾和化粪池污泥。原材料包装箱外售给造纸厂。产生的盛装容器瓶由生产公司回收再利用，不外排。制片和贴片产生的边料收集送回槽型混合机混合再利用，不外排。生活垃圾在生产车间集中收集后，运至附近垃圾回收点，由当地环卫部门统一处理。化粪池污泥为一般固废，定期清掏，由环卫吸粪车清运至污水处理厂进行进一步处理。废活性炭由厂家及时回收，不外排。</w:t>
      </w:r>
    </w:p>
    <w:p>
      <w:pPr>
        <w:pStyle w:val="13"/>
        <w:shd w:val="clear" w:color="auto" w:fill="FFFFFF"/>
        <w:spacing w:beforeAutospacing="0" w:after="0" w:afterAutospacing="0" w:line="50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（五）辐射</w:t>
      </w:r>
    </w:p>
    <w:p>
      <w:pPr>
        <w:pStyle w:val="13"/>
        <w:shd w:val="clear" w:color="auto" w:fill="FFFFFF"/>
        <w:spacing w:beforeAutospacing="0" w:after="0" w:afterAutospacing="0" w:line="50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项目无辐射污染。</w:t>
      </w:r>
    </w:p>
    <w:p>
      <w:pPr>
        <w:pStyle w:val="13"/>
        <w:shd w:val="clear" w:color="auto" w:fill="FFFFFF"/>
        <w:spacing w:beforeAutospacing="0" w:after="0" w:afterAutospacing="0" w:line="500" w:lineRule="exact"/>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（六）其他环境保护措施</w:t>
      </w:r>
    </w:p>
    <w:p>
      <w:pPr>
        <w:pStyle w:val="13"/>
        <w:shd w:val="clear" w:color="auto" w:fill="FFFFFF"/>
        <w:spacing w:beforeAutospacing="0" w:after="0" w:afterAutospacing="0" w:line="500" w:lineRule="exact"/>
        <w:ind w:firstLine="560" w:firstLineChars="200"/>
        <w:jc w:val="both"/>
        <w:rPr>
          <w:rFonts w:ascii="宋体" w:hAnsi="宋体" w:eastAsia="宋体" w:cs="宋体"/>
          <w:b/>
          <w:sz w:val="28"/>
          <w:szCs w:val="28"/>
        </w:rPr>
      </w:pPr>
      <w:r>
        <w:rPr>
          <w:rFonts w:hint="eastAsia" w:ascii="宋体" w:hAnsi="宋体" w:eastAsia="宋体" w:cs="宋体"/>
          <w:sz w:val="28"/>
          <w:szCs w:val="28"/>
        </w:rPr>
        <w:t>项目无其他环境保护措施。</w:t>
      </w:r>
    </w:p>
    <w:p>
      <w:pPr>
        <w:spacing w:after="0" w:line="500" w:lineRule="exact"/>
        <w:ind w:firstLine="562" w:firstLineChars="200"/>
        <w:outlineLvl w:val="0"/>
        <w:rPr>
          <w:rFonts w:ascii="宋体" w:hAnsi="宋体" w:eastAsia="宋体" w:cs="宋体"/>
          <w:b/>
          <w:sz w:val="28"/>
          <w:szCs w:val="28"/>
        </w:rPr>
      </w:pPr>
      <w:bookmarkStart w:id="25" w:name="_Toc1629_WPSOffice_Level2"/>
      <w:r>
        <w:rPr>
          <w:rFonts w:hint="eastAsia" w:ascii="宋体" w:hAnsi="宋体" w:eastAsia="宋体" w:cs="宋体"/>
          <w:b/>
          <w:sz w:val="28"/>
          <w:szCs w:val="28"/>
        </w:rPr>
        <w:t>四、环境保护设施调试效果</w:t>
      </w:r>
      <w:bookmarkEnd w:id="25"/>
    </w:p>
    <w:p>
      <w:pPr>
        <w:spacing w:after="0" w:line="500" w:lineRule="exact"/>
        <w:ind w:firstLine="562" w:firstLineChars="200"/>
        <w:outlineLvl w:val="1"/>
        <w:rPr>
          <w:rFonts w:ascii="宋体" w:hAnsi="宋体" w:eastAsia="宋体" w:cs="宋体"/>
          <w:b/>
          <w:sz w:val="28"/>
          <w:szCs w:val="28"/>
        </w:rPr>
      </w:pPr>
      <w:r>
        <w:rPr>
          <w:rFonts w:hint="eastAsia" w:ascii="宋体" w:hAnsi="宋体" w:eastAsia="宋体" w:cs="宋体"/>
          <w:b/>
          <w:sz w:val="28"/>
          <w:szCs w:val="28"/>
        </w:rPr>
        <w:t>（一）环保设施处理效率</w:t>
      </w:r>
    </w:p>
    <w:p>
      <w:pPr>
        <w:spacing w:after="0" w:line="500" w:lineRule="exact"/>
        <w:ind w:firstLine="560" w:firstLineChars="200"/>
        <w:outlineLvl w:val="1"/>
        <w:rPr>
          <w:rFonts w:ascii="宋体" w:hAnsi="宋体" w:eastAsia="宋体" w:cs="宋体"/>
          <w:bCs/>
          <w:sz w:val="28"/>
          <w:szCs w:val="28"/>
        </w:rPr>
      </w:pPr>
      <w:r>
        <w:rPr>
          <w:rFonts w:hint="eastAsia" w:ascii="宋体" w:hAnsi="宋体" w:eastAsia="宋体" w:cs="宋体"/>
          <w:bCs/>
          <w:sz w:val="28"/>
          <w:szCs w:val="28"/>
        </w:rPr>
        <w:t>对于废水、废气环保设施处理效率，环评报告表及批复未作要求。</w:t>
      </w:r>
    </w:p>
    <w:p>
      <w:pPr>
        <w:spacing w:after="0" w:line="500" w:lineRule="exact"/>
        <w:ind w:left="585" w:leftChars="266"/>
        <w:outlineLvl w:val="1"/>
        <w:rPr>
          <w:rFonts w:ascii="宋体" w:hAnsi="宋体" w:eastAsia="宋体" w:cs="宋体"/>
          <w:sz w:val="28"/>
        </w:rPr>
      </w:pPr>
      <w:r>
        <w:rPr>
          <w:rFonts w:hint="eastAsia" w:ascii="宋体" w:hAnsi="宋体" w:eastAsia="宋体" w:cs="宋体"/>
          <w:b/>
          <w:sz w:val="28"/>
          <w:szCs w:val="28"/>
        </w:rPr>
        <w:t>（二）污染物排放情况</w:t>
      </w:r>
    </w:p>
    <w:p>
      <w:pPr>
        <w:pStyle w:val="46"/>
        <w:spacing w:after="0" w:line="500" w:lineRule="exact"/>
        <w:ind w:firstLine="562"/>
        <w:rPr>
          <w:rFonts w:ascii="宋体" w:hAnsi="宋体" w:eastAsia="宋体" w:cs="宋体"/>
          <w:b/>
          <w:bCs/>
          <w:sz w:val="28"/>
        </w:rPr>
      </w:pPr>
      <w:r>
        <w:rPr>
          <w:rFonts w:hint="eastAsia" w:ascii="宋体" w:hAnsi="宋体" w:eastAsia="宋体" w:cs="宋体"/>
          <w:b/>
          <w:bCs/>
          <w:sz w:val="28"/>
        </w:rPr>
        <w:t>（1）无组织废气</w:t>
      </w:r>
    </w:p>
    <w:p>
      <w:pPr>
        <w:pStyle w:val="46"/>
        <w:spacing w:after="0" w:line="500" w:lineRule="exact"/>
        <w:ind w:firstLine="560"/>
        <w:rPr>
          <w:rFonts w:ascii="宋体" w:hAnsi="宋体" w:eastAsia="宋体" w:cs="宋体"/>
          <w:sz w:val="28"/>
        </w:rPr>
      </w:pPr>
      <w:r>
        <w:rPr>
          <w:rFonts w:hint="eastAsia" w:ascii="宋体" w:hAnsi="宋体" w:eastAsia="宋体" w:cs="宋体"/>
          <w:sz w:val="28"/>
        </w:rPr>
        <w:t>验收监测结果显示，无组织废气非甲烷总烃、总悬浮颗粒物满足《大气污染物综合排放标准》（GB16297-1996）表2标准限值要求。</w:t>
      </w:r>
    </w:p>
    <w:p>
      <w:pPr>
        <w:spacing w:after="0" w:line="500" w:lineRule="exact"/>
        <w:ind w:firstLine="562" w:firstLineChars="200"/>
        <w:outlineLvl w:val="2"/>
        <w:rPr>
          <w:rFonts w:ascii="宋体" w:hAnsi="宋体" w:eastAsia="宋体" w:cs="宋体"/>
          <w:b/>
          <w:bCs/>
          <w:sz w:val="28"/>
          <w:szCs w:val="28"/>
        </w:rPr>
      </w:pPr>
      <w:r>
        <w:rPr>
          <w:rFonts w:hint="eastAsia" w:ascii="宋体" w:hAnsi="宋体" w:eastAsia="宋体" w:cs="宋体"/>
          <w:b/>
          <w:bCs/>
          <w:sz w:val="28"/>
          <w:szCs w:val="28"/>
        </w:rPr>
        <w:t>（2）厂界噪声</w:t>
      </w:r>
    </w:p>
    <w:p>
      <w:pPr>
        <w:spacing w:after="0" w:line="500" w:lineRule="exact"/>
        <w:ind w:firstLine="560" w:firstLineChars="200"/>
        <w:outlineLvl w:val="2"/>
        <w:rPr>
          <w:rFonts w:ascii="宋体" w:hAnsi="宋体" w:eastAsia="宋体" w:cs="宋体"/>
          <w:sz w:val="28"/>
          <w:szCs w:val="28"/>
        </w:rPr>
      </w:pPr>
      <w:r>
        <w:rPr>
          <w:rFonts w:hint="eastAsia" w:ascii="宋体" w:hAnsi="宋体" w:eastAsia="宋体" w:cs="宋体"/>
          <w:sz w:val="28"/>
        </w:rPr>
        <w:t>验收监测结果表明，</w:t>
      </w:r>
      <w:r>
        <w:rPr>
          <w:rFonts w:hint="eastAsia" w:ascii="宋体" w:hAnsi="宋体" w:eastAsia="宋体" w:cs="宋体"/>
          <w:sz w:val="28"/>
          <w:szCs w:val="28"/>
        </w:rPr>
        <w:t>项目界边昼间、夜间噪声值满足《工业企业厂界环境噪声排放标准》（GB12348-2008）2类标准限值要求。</w:t>
      </w:r>
    </w:p>
    <w:p>
      <w:pPr>
        <w:spacing w:after="0" w:line="500" w:lineRule="exact"/>
        <w:ind w:left="440" w:leftChars="200"/>
        <w:outlineLvl w:val="2"/>
        <w:rPr>
          <w:rFonts w:ascii="宋体" w:hAnsi="宋体" w:eastAsia="宋体" w:cs="宋体"/>
          <w:b/>
          <w:sz w:val="28"/>
          <w:szCs w:val="28"/>
        </w:rPr>
      </w:pPr>
      <w:r>
        <w:rPr>
          <w:rFonts w:hint="eastAsia" w:ascii="宋体" w:hAnsi="宋体" w:eastAsia="宋体" w:cs="宋体"/>
          <w:b/>
          <w:sz w:val="28"/>
          <w:szCs w:val="28"/>
        </w:rPr>
        <w:t>（3）污染物排放总量</w:t>
      </w:r>
    </w:p>
    <w:p>
      <w:pPr>
        <w:spacing w:after="0" w:line="500" w:lineRule="exact"/>
        <w:ind w:firstLine="560" w:firstLineChars="200"/>
        <w:outlineLvl w:val="0"/>
        <w:rPr>
          <w:rFonts w:ascii="宋体" w:hAnsi="宋体" w:eastAsia="宋体" w:cs="宋体"/>
          <w:b/>
          <w:bCs/>
          <w:sz w:val="28"/>
          <w:szCs w:val="28"/>
        </w:rPr>
      </w:pPr>
      <w:r>
        <w:rPr>
          <w:rFonts w:hint="eastAsia" w:ascii="宋体" w:hAnsi="宋体" w:eastAsia="宋体" w:cs="宋体"/>
          <w:sz w:val="28"/>
          <w:szCs w:val="28"/>
        </w:rPr>
        <w:t>项目未设总量控制指标要求。</w:t>
      </w:r>
      <w:bookmarkStart w:id="26" w:name="_Toc24931_WPSOffice_Level2"/>
    </w:p>
    <w:p>
      <w:pPr>
        <w:spacing w:before="120" w:after="0" w:line="500" w:lineRule="exact"/>
        <w:ind w:firstLine="562" w:firstLineChars="200"/>
        <w:outlineLvl w:val="0"/>
        <w:rPr>
          <w:rFonts w:ascii="宋体" w:hAnsi="宋体" w:eastAsia="宋体" w:cs="宋体"/>
          <w:sz w:val="28"/>
          <w:szCs w:val="28"/>
        </w:rPr>
      </w:pPr>
      <w:r>
        <w:rPr>
          <w:rFonts w:hint="eastAsia" w:ascii="宋体" w:hAnsi="宋体" w:eastAsia="宋体" w:cs="宋体"/>
          <w:b/>
          <w:bCs/>
          <w:sz w:val="28"/>
          <w:szCs w:val="28"/>
        </w:rPr>
        <w:t>五、工程建设对环境的影响</w:t>
      </w:r>
      <w:bookmarkEnd w:id="26"/>
    </w:p>
    <w:p>
      <w:pPr>
        <w:spacing w:after="0" w:line="500" w:lineRule="exact"/>
        <w:ind w:firstLine="560" w:firstLineChars="200"/>
        <w:outlineLvl w:val="0"/>
        <w:rPr>
          <w:rFonts w:ascii="宋体" w:hAnsi="宋体" w:eastAsia="宋体" w:cs="宋体"/>
          <w:sz w:val="28"/>
          <w:szCs w:val="28"/>
        </w:rPr>
      </w:pPr>
      <w:r>
        <w:rPr>
          <w:rFonts w:hint="eastAsia" w:ascii="宋体" w:hAnsi="宋体" w:eastAsia="宋体" w:cs="宋体"/>
          <w:sz w:val="28"/>
          <w:szCs w:val="28"/>
        </w:rPr>
        <w:t>项目无组织废气、边界噪声值等均满足相应排放标准限值要求；生活污水经化粪池处理后由污水管网进入下午屯污水处理厂再处理；固体废物妥善处置。本项目建设对周边环境影响较小。</w:t>
      </w:r>
      <w:bookmarkStart w:id="27" w:name="_Toc13985_WPSOffice_Level2"/>
    </w:p>
    <w:p>
      <w:pPr>
        <w:spacing w:after="0" w:line="500" w:lineRule="exact"/>
        <w:ind w:firstLine="562" w:firstLineChars="200"/>
        <w:outlineLvl w:val="0"/>
        <w:rPr>
          <w:rFonts w:ascii="宋体" w:hAnsi="宋体" w:eastAsia="宋体" w:cs="宋体"/>
          <w:b/>
          <w:bCs/>
          <w:sz w:val="28"/>
          <w:szCs w:val="28"/>
        </w:rPr>
      </w:pPr>
      <w:r>
        <w:rPr>
          <w:rFonts w:hint="eastAsia" w:ascii="宋体" w:hAnsi="宋体" w:eastAsia="宋体" w:cs="宋体"/>
          <w:b/>
          <w:bCs/>
          <w:sz w:val="28"/>
          <w:szCs w:val="28"/>
        </w:rPr>
        <w:t>六、验收结论</w:t>
      </w:r>
      <w:bookmarkEnd w:id="27"/>
    </w:p>
    <w:p>
      <w:pPr>
        <w:spacing w:line="500" w:lineRule="exact"/>
        <w:ind w:firstLine="560" w:firstLineChars="200"/>
        <w:rPr>
          <w:rFonts w:ascii="宋体" w:hAnsi="宋体" w:eastAsia="宋体" w:cs="宋体"/>
          <w:b/>
          <w:sz w:val="28"/>
          <w:szCs w:val="28"/>
        </w:rPr>
      </w:pPr>
      <w:r>
        <w:rPr>
          <w:rFonts w:hint="eastAsia" w:ascii="宋体" w:hAnsi="宋体" w:eastAsia="宋体" w:cs="宋体"/>
          <w:sz w:val="28"/>
          <w:szCs w:val="28"/>
        </w:rPr>
        <w:t>贵州苗通生物医药开发有限公司兴义市苗通外用膏贴生产线建设项目</w:t>
      </w:r>
      <w:r>
        <w:rPr>
          <w:rFonts w:hint="eastAsia" w:ascii="宋体" w:hAnsi="宋体" w:eastAsia="宋体" w:cs="宋体"/>
          <w:spacing w:val="8"/>
          <w:sz w:val="28"/>
          <w:szCs w:val="28"/>
        </w:rPr>
        <w:t>按照环境影响报</w:t>
      </w:r>
      <w:r>
        <w:rPr>
          <w:rFonts w:hint="eastAsia" w:ascii="宋体" w:hAnsi="宋体" w:eastAsia="宋体" w:cs="宋体"/>
          <w:sz w:val="28"/>
          <w:szCs w:val="28"/>
        </w:rPr>
        <w:t>告表及批复的要求，环保措施落实情况好。项目采取有效的环境保护措施，污染物达标排放，对周边环境质量影响较小。根据本项目竣工环境保护验收监测结果，</w:t>
      </w:r>
      <w:r>
        <w:rPr>
          <w:rFonts w:hint="eastAsia" w:ascii="宋体" w:hAnsi="宋体" w:eastAsia="宋体" w:cs="宋体"/>
          <w:color w:val="000000" w:themeColor="text1"/>
          <w:sz w:val="28"/>
          <w:szCs w:val="28"/>
          <w14:textFill>
            <w14:solidFill>
              <w14:schemeClr w14:val="tx1"/>
            </w14:solidFill>
          </w14:textFill>
        </w:rPr>
        <w:t>按照《建设项目竣工环境保护验收暂行办法》中规定的验收不合格情形对项目逐一对照核查，达到了建设项目竣工环境保护验收的条件，符合验收要求。验收组认为，本建设项目竣工环境保护验收合格。</w:t>
      </w:r>
      <w:bookmarkStart w:id="28" w:name="_Toc18784_WPSOffice_Level2"/>
    </w:p>
    <w:p>
      <w:pPr>
        <w:spacing w:after="0" w:line="500" w:lineRule="exact"/>
        <w:ind w:firstLine="562" w:firstLineChars="200"/>
        <w:outlineLvl w:val="0"/>
        <w:rPr>
          <w:rFonts w:ascii="宋体" w:hAnsi="宋体" w:eastAsia="宋体" w:cs="宋体"/>
          <w:b/>
          <w:bCs/>
          <w:sz w:val="28"/>
          <w:szCs w:val="28"/>
        </w:rPr>
      </w:pPr>
      <w:r>
        <w:rPr>
          <w:rFonts w:hint="eastAsia" w:ascii="宋体" w:hAnsi="宋体" w:eastAsia="宋体" w:cs="宋体"/>
          <w:b/>
          <w:sz w:val="28"/>
          <w:szCs w:val="28"/>
        </w:rPr>
        <w:t>七、后续要求</w:t>
      </w:r>
      <w:bookmarkEnd w:id="28"/>
    </w:p>
    <w:p>
      <w:pPr>
        <w:spacing w:after="0" w:line="500" w:lineRule="exact"/>
        <w:ind w:firstLine="560" w:firstLineChars="200"/>
        <w:outlineLvl w:val="0"/>
        <w:rPr>
          <w:rFonts w:ascii="宋体" w:hAnsi="宋体" w:eastAsia="宋体" w:cs="宋体"/>
          <w:sz w:val="28"/>
          <w:szCs w:val="28"/>
        </w:rPr>
      </w:pPr>
      <w:r>
        <w:rPr>
          <w:rFonts w:hint="eastAsia" w:ascii="宋体" w:hAnsi="宋体" w:eastAsia="宋体" w:cs="宋体"/>
          <w:sz w:val="28"/>
          <w:szCs w:val="28"/>
        </w:rPr>
        <w:t>1、完善环境保护规章制度，明确专人或兼职人员负责环境保护方面工作。</w:t>
      </w:r>
    </w:p>
    <w:p>
      <w:pPr>
        <w:spacing w:after="120" w:line="500" w:lineRule="exact"/>
        <w:ind w:firstLine="560" w:firstLineChars="200"/>
        <w:outlineLvl w:val="0"/>
        <w:rPr>
          <w:rFonts w:ascii="宋体" w:hAnsi="宋体" w:eastAsia="宋体" w:cs="宋体"/>
          <w:b/>
          <w:sz w:val="28"/>
          <w:szCs w:val="28"/>
        </w:rPr>
      </w:pPr>
      <w:r>
        <w:rPr>
          <w:rFonts w:hint="eastAsia" w:ascii="宋体" w:hAnsi="宋体" w:eastAsia="宋体" w:cs="宋体"/>
          <w:sz w:val="28"/>
          <w:szCs w:val="28"/>
        </w:rPr>
        <w:t>2、加强对机械噪声管理，减小周边环境噪声污染。</w:t>
      </w:r>
      <w:bookmarkStart w:id="29" w:name="_Toc18797_WPSOffice_Level2"/>
    </w:p>
    <w:p>
      <w:pPr>
        <w:spacing w:before="120" w:beforeLines="50" w:after="120" w:afterLines="50" w:line="500" w:lineRule="exact"/>
        <w:ind w:firstLine="562" w:firstLineChars="200"/>
        <w:outlineLvl w:val="0"/>
        <w:rPr>
          <w:rFonts w:ascii="宋体" w:hAnsi="宋体" w:eastAsia="宋体" w:cs="宋体"/>
          <w:b/>
          <w:sz w:val="28"/>
          <w:szCs w:val="28"/>
        </w:rPr>
      </w:pPr>
      <w:r>
        <w:rPr>
          <w:rFonts w:hint="eastAsia" w:ascii="宋体" w:hAnsi="宋体" w:eastAsia="宋体" w:cs="宋体"/>
          <w:b/>
          <w:sz w:val="28"/>
          <w:szCs w:val="28"/>
        </w:rPr>
        <w:t>八、验收组人员信息</w:t>
      </w:r>
      <w:bookmarkEnd w:id="29"/>
    </w:p>
    <w:tbl>
      <w:tblPr>
        <w:tblStyle w:val="19"/>
        <w:tblW w:w="8521" w:type="dxa"/>
        <w:jc w:val="center"/>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856"/>
        <w:gridCol w:w="1444"/>
        <w:gridCol w:w="1685"/>
        <w:gridCol w:w="1548"/>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exact"/>
          <w:jc w:val="center"/>
        </w:trPr>
        <w:tc>
          <w:tcPr>
            <w:tcW w:w="946"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姓 名</w:t>
            </w:r>
          </w:p>
        </w:tc>
        <w:tc>
          <w:tcPr>
            <w:tcW w:w="1856"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单   位</w:t>
            </w:r>
          </w:p>
        </w:tc>
        <w:tc>
          <w:tcPr>
            <w:tcW w:w="1444"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职务/职称</w:t>
            </w:r>
          </w:p>
        </w:tc>
        <w:tc>
          <w:tcPr>
            <w:tcW w:w="1685" w:type="dxa"/>
            <w:vAlign w:val="center"/>
          </w:tcPr>
          <w:p>
            <w:pPr>
              <w:widowControl/>
              <w:spacing w:after="0" w:line="240" w:lineRule="atLeast"/>
              <w:jc w:val="center"/>
              <w:rPr>
                <w:rFonts w:hint="eastAsia" w:ascii="宋体" w:hAnsi="宋体" w:eastAsia="宋体" w:cs="宋体"/>
                <w:spacing w:val="-20"/>
                <w:sz w:val="24"/>
              </w:rPr>
            </w:pPr>
            <w:r>
              <w:rPr>
                <w:rFonts w:hint="eastAsia" w:ascii="宋体" w:hAnsi="宋体" w:eastAsia="宋体" w:cs="宋体"/>
                <w:spacing w:val="-20"/>
                <w:sz w:val="24"/>
              </w:rPr>
              <w:t>联系电话/</w:t>
            </w:r>
          </w:p>
          <w:p>
            <w:pPr>
              <w:widowControl/>
              <w:spacing w:after="0" w:line="240" w:lineRule="atLeast"/>
              <w:jc w:val="center"/>
              <w:rPr>
                <w:rFonts w:ascii="宋体" w:hAnsi="宋体" w:eastAsia="宋体" w:cs="宋体"/>
                <w:spacing w:val="-20"/>
                <w:sz w:val="24"/>
              </w:rPr>
            </w:pPr>
            <w:r>
              <w:rPr>
                <w:rFonts w:hint="eastAsia" w:ascii="宋体" w:hAnsi="宋体" w:eastAsia="宋体" w:cs="宋体"/>
                <w:color w:val="000000"/>
                <w:spacing w:val="-20"/>
                <w:sz w:val="24"/>
              </w:rPr>
              <w:t>身份证号码</w:t>
            </w:r>
          </w:p>
        </w:tc>
        <w:tc>
          <w:tcPr>
            <w:tcW w:w="1548"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签 名</w:t>
            </w:r>
          </w:p>
        </w:tc>
        <w:tc>
          <w:tcPr>
            <w:tcW w:w="1042"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946" w:type="dxa"/>
            <w:vMerge w:val="restart"/>
            <w:vAlign w:val="center"/>
          </w:tcPr>
          <w:p>
            <w:pPr>
              <w:widowControl/>
              <w:spacing w:after="0" w:line="520" w:lineRule="exact"/>
              <w:jc w:val="center"/>
              <w:rPr>
                <w:rFonts w:ascii="宋体" w:hAnsi="宋体" w:eastAsia="宋体" w:cs="宋体"/>
                <w:sz w:val="24"/>
              </w:rPr>
            </w:pPr>
            <w:r>
              <w:rPr>
                <w:rFonts w:hint="eastAsia" w:ascii="宋体" w:hAnsi="宋体" w:eastAsia="宋体" w:cs="宋体"/>
                <w:sz w:val="24"/>
              </w:rPr>
              <w:t>王作飞</w:t>
            </w:r>
          </w:p>
        </w:tc>
        <w:tc>
          <w:tcPr>
            <w:tcW w:w="185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贵州苗通生物医药开发有限公司</w:t>
            </w:r>
          </w:p>
        </w:tc>
        <w:tc>
          <w:tcPr>
            <w:tcW w:w="1444" w:type="dxa"/>
            <w:vMerge w:val="restart"/>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法人</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13618513456</w:t>
            </w:r>
          </w:p>
        </w:tc>
        <w:tc>
          <w:tcPr>
            <w:tcW w:w="1548" w:type="dxa"/>
            <w:vMerge w:val="restart"/>
            <w:vAlign w:val="center"/>
          </w:tcPr>
          <w:p>
            <w:pPr>
              <w:widowControl/>
              <w:spacing w:after="0"/>
              <w:jc w:val="center"/>
              <w:rPr>
                <w:rFonts w:ascii="宋体" w:hAnsi="宋体" w:eastAsia="宋体" w:cs="宋体"/>
                <w:sz w:val="24"/>
              </w:rPr>
            </w:pPr>
          </w:p>
        </w:tc>
        <w:tc>
          <w:tcPr>
            <w:tcW w:w="1042" w:type="dxa"/>
            <w:vMerge w:val="restart"/>
            <w:vAlign w:val="center"/>
          </w:tcPr>
          <w:p>
            <w:pPr>
              <w:widowControl/>
              <w:spacing w:after="0"/>
              <w:jc w:val="center"/>
              <w:rPr>
                <w:rFonts w:hint="eastAsia" w:ascii="宋体" w:hAnsi="宋体" w:eastAsia="宋体" w:cs="宋体"/>
                <w:sz w:val="24"/>
              </w:rPr>
            </w:pPr>
            <w:r>
              <w:rPr>
                <w:rFonts w:hint="eastAsia" w:ascii="宋体" w:hAnsi="宋体" w:eastAsia="宋体" w:cs="宋体"/>
                <w:sz w:val="24"/>
              </w:rPr>
              <w:t>建设</w:t>
            </w:r>
          </w:p>
          <w:p>
            <w:pPr>
              <w:widowControl/>
              <w:spacing w:after="0"/>
              <w:jc w:val="center"/>
              <w:rPr>
                <w:rFonts w:ascii="宋体" w:hAnsi="宋体" w:eastAsia="宋体" w:cs="宋体"/>
                <w:sz w:val="24"/>
              </w:rPr>
            </w:pPr>
            <w:r>
              <w:rPr>
                <w:rFonts w:hint="eastAsia" w:ascii="宋体" w:hAnsi="宋体" w:eastAsia="宋体" w:cs="宋体"/>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1856" w:type="dxa"/>
            <w:vMerge w:val="continue"/>
            <w:vAlign w:val="center"/>
          </w:tcPr>
          <w:p>
            <w:pPr>
              <w:widowControl/>
              <w:spacing w:after="0" w:line="520" w:lineRule="exact"/>
              <w:jc w:val="center"/>
              <w:rPr>
                <w:rFonts w:ascii="宋体" w:hAnsi="宋体" w:eastAsia="宋体" w:cs="宋体"/>
                <w:sz w:val="24"/>
              </w:rPr>
            </w:pPr>
          </w:p>
        </w:tc>
        <w:tc>
          <w:tcPr>
            <w:tcW w:w="1444"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522101197509247610</w:t>
            </w:r>
          </w:p>
        </w:tc>
        <w:tc>
          <w:tcPr>
            <w:tcW w:w="1548" w:type="dxa"/>
            <w:vMerge w:val="continue"/>
            <w:vAlign w:val="center"/>
          </w:tcPr>
          <w:p>
            <w:pPr>
              <w:widowControl/>
              <w:spacing w:after="0"/>
              <w:jc w:val="center"/>
              <w:rPr>
                <w:rFonts w:ascii="宋体" w:hAnsi="宋体" w:eastAsia="宋体" w:cs="宋体"/>
                <w:sz w:val="24"/>
              </w:rPr>
            </w:pPr>
          </w:p>
        </w:tc>
        <w:tc>
          <w:tcPr>
            <w:tcW w:w="1042"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exact"/>
          <w:jc w:val="center"/>
        </w:trPr>
        <w:tc>
          <w:tcPr>
            <w:tcW w:w="946" w:type="dxa"/>
            <w:vMerge w:val="restart"/>
            <w:vAlign w:val="center"/>
          </w:tcPr>
          <w:p>
            <w:pPr>
              <w:widowControl/>
              <w:spacing w:after="0" w:line="520" w:lineRule="exact"/>
              <w:jc w:val="center"/>
              <w:rPr>
                <w:rFonts w:ascii="宋体" w:hAnsi="宋体" w:eastAsia="宋体" w:cs="宋体"/>
                <w:sz w:val="24"/>
              </w:rPr>
            </w:pPr>
            <w:r>
              <w:rPr>
                <w:rFonts w:hint="eastAsia" w:ascii="宋体" w:hAnsi="宋体" w:eastAsia="宋体" w:cs="宋体"/>
                <w:sz w:val="24"/>
              </w:rPr>
              <w:t>龚振江</w:t>
            </w:r>
          </w:p>
        </w:tc>
        <w:tc>
          <w:tcPr>
            <w:tcW w:w="185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444" w:type="dxa"/>
            <w:vMerge w:val="restart"/>
            <w:vAlign w:val="center"/>
          </w:tcPr>
          <w:p>
            <w:pPr>
              <w:widowControl/>
              <w:spacing w:after="0" w:line="380" w:lineRule="exact"/>
              <w:jc w:val="center"/>
              <w:rPr>
                <w:rFonts w:ascii="宋体" w:hAnsi="宋体" w:eastAsia="宋体" w:cs="宋体"/>
                <w:sz w:val="24"/>
              </w:rPr>
            </w:pPr>
            <w:r>
              <w:rPr>
                <w:rFonts w:hint="eastAsia" w:ascii="宋体" w:hAnsi="宋体" w:eastAsia="宋体" w:cs="宋体"/>
                <w:spacing w:val="-20"/>
                <w:sz w:val="24"/>
              </w:rPr>
              <w:t>高级工程师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13985953683</w:t>
            </w:r>
          </w:p>
        </w:tc>
        <w:tc>
          <w:tcPr>
            <w:tcW w:w="1548" w:type="dxa"/>
            <w:vMerge w:val="restart"/>
            <w:vAlign w:val="center"/>
          </w:tcPr>
          <w:p>
            <w:pPr>
              <w:widowControl/>
              <w:spacing w:after="0"/>
              <w:jc w:val="center"/>
              <w:rPr>
                <w:rFonts w:ascii="宋体" w:hAnsi="宋体" w:eastAsia="宋体" w:cs="宋体"/>
                <w:sz w:val="24"/>
              </w:rPr>
            </w:pPr>
          </w:p>
        </w:tc>
        <w:tc>
          <w:tcPr>
            <w:tcW w:w="1042"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1856" w:type="dxa"/>
            <w:vMerge w:val="continue"/>
            <w:vAlign w:val="center"/>
          </w:tcPr>
          <w:p>
            <w:pPr>
              <w:widowControl/>
              <w:spacing w:after="0" w:line="520" w:lineRule="exact"/>
              <w:jc w:val="center"/>
              <w:rPr>
                <w:rFonts w:ascii="宋体" w:hAnsi="宋体" w:eastAsia="宋体" w:cs="宋体"/>
                <w:sz w:val="24"/>
              </w:rPr>
            </w:pPr>
          </w:p>
        </w:tc>
        <w:tc>
          <w:tcPr>
            <w:tcW w:w="1444"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52232119580506041X</w:t>
            </w:r>
          </w:p>
        </w:tc>
        <w:tc>
          <w:tcPr>
            <w:tcW w:w="1548" w:type="dxa"/>
            <w:vMerge w:val="continue"/>
            <w:vAlign w:val="center"/>
          </w:tcPr>
          <w:p>
            <w:pPr>
              <w:widowControl/>
              <w:spacing w:after="0"/>
              <w:jc w:val="center"/>
              <w:rPr>
                <w:rFonts w:ascii="宋体" w:hAnsi="宋体" w:eastAsia="宋体" w:cs="宋体"/>
                <w:sz w:val="24"/>
              </w:rPr>
            </w:pPr>
          </w:p>
        </w:tc>
        <w:tc>
          <w:tcPr>
            <w:tcW w:w="1042"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94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曹环礼</w:t>
            </w:r>
          </w:p>
        </w:tc>
        <w:tc>
          <w:tcPr>
            <w:tcW w:w="185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444" w:type="dxa"/>
            <w:vMerge w:val="restart"/>
            <w:vAlign w:val="center"/>
          </w:tcPr>
          <w:p>
            <w:pPr>
              <w:widowControl/>
              <w:spacing w:after="0"/>
              <w:jc w:val="center"/>
              <w:rPr>
                <w:rFonts w:ascii="宋体" w:hAnsi="宋体" w:eastAsia="宋体" w:cs="宋体"/>
                <w:sz w:val="24"/>
              </w:rPr>
            </w:pPr>
            <w:r>
              <w:rPr>
                <w:rFonts w:hint="eastAsia" w:ascii="宋体" w:hAnsi="宋体" w:eastAsia="宋体" w:cs="宋体"/>
                <w:spacing w:val="-20"/>
                <w:sz w:val="24"/>
              </w:rPr>
              <w:t>高级工程师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13985998682</w:t>
            </w:r>
          </w:p>
        </w:tc>
        <w:tc>
          <w:tcPr>
            <w:tcW w:w="1548" w:type="dxa"/>
            <w:vMerge w:val="restart"/>
            <w:vAlign w:val="center"/>
          </w:tcPr>
          <w:p>
            <w:pPr>
              <w:widowControl/>
              <w:spacing w:after="0"/>
              <w:jc w:val="center"/>
              <w:rPr>
                <w:rFonts w:ascii="宋体" w:hAnsi="宋体" w:eastAsia="宋体" w:cs="宋体"/>
                <w:sz w:val="24"/>
              </w:rPr>
            </w:pPr>
          </w:p>
        </w:tc>
        <w:tc>
          <w:tcPr>
            <w:tcW w:w="1042"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946" w:type="dxa"/>
            <w:vMerge w:val="continue"/>
            <w:vAlign w:val="center"/>
          </w:tcPr>
          <w:p>
            <w:pPr>
              <w:widowControl/>
              <w:spacing w:after="0"/>
              <w:jc w:val="center"/>
              <w:rPr>
                <w:rFonts w:ascii="宋体" w:hAnsi="宋体" w:eastAsia="宋体" w:cs="宋体"/>
                <w:sz w:val="24"/>
              </w:rPr>
            </w:pPr>
          </w:p>
        </w:tc>
        <w:tc>
          <w:tcPr>
            <w:tcW w:w="1856" w:type="dxa"/>
            <w:vMerge w:val="continue"/>
            <w:vAlign w:val="center"/>
          </w:tcPr>
          <w:p>
            <w:pPr>
              <w:widowControl/>
              <w:spacing w:after="0"/>
              <w:jc w:val="center"/>
              <w:rPr>
                <w:rFonts w:ascii="宋体" w:hAnsi="宋体" w:eastAsia="宋体" w:cs="宋体"/>
                <w:sz w:val="24"/>
              </w:rPr>
            </w:pPr>
          </w:p>
        </w:tc>
        <w:tc>
          <w:tcPr>
            <w:tcW w:w="1444" w:type="dxa"/>
            <w:vMerge w:val="continue"/>
            <w:vAlign w:val="center"/>
          </w:tcPr>
          <w:p>
            <w:pPr>
              <w:widowControl/>
              <w:spacing w:after="0"/>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522321195408200415</w:t>
            </w:r>
          </w:p>
        </w:tc>
        <w:tc>
          <w:tcPr>
            <w:tcW w:w="1548" w:type="dxa"/>
            <w:vMerge w:val="continue"/>
            <w:vAlign w:val="center"/>
          </w:tcPr>
          <w:p>
            <w:pPr>
              <w:widowControl/>
              <w:spacing w:after="0"/>
              <w:jc w:val="center"/>
              <w:rPr>
                <w:rFonts w:ascii="宋体" w:hAnsi="宋体" w:eastAsia="宋体" w:cs="宋体"/>
                <w:sz w:val="24"/>
              </w:rPr>
            </w:pPr>
          </w:p>
        </w:tc>
        <w:tc>
          <w:tcPr>
            <w:tcW w:w="1042"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94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刘国华</w:t>
            </w:r>
          </w:p>
        </w:tc>
        <w:tc>
          <w:tcPr>
            <w:tcW w:w="185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黔西南州环境</w:t>
            </w:r>
          </w:p>
          <w:p>
            <w:pPr>
              <w:widowControl/>
              <w:spacing w:after="0"/>
              <w:jc w:val="center"/>
              <w:rPr>
                <w:rFonts w:ascii="宋体" w:hAnsi="宋体" w:eastAsia="宋体" w:cs="宋体"/>
                <w:sz w:val="24"/>
              </w:rPr>
            </w:pPr>
            <w:r>
              <w:rPr>
                <w:rFonts w:hint="eastAsia" w:ascii="宋体" w:hAnsi="宋体" w:eastAsia="宋体" w:cs="宋体"/>
                <w:sz w:val="24"/>
              </w:rPr>
              <w:t>监测站</w:t>
            </w:r>
          </w:p>
        </w:tc>
        <w:tc>
          <w:tcPr>
            <w:tcW w:w="1444" w:type="dxa"/>
            <w:vMerge w:val="restart"/>
            <w:vAlign w:val="center"/>
          </w:tcPr>
          <w:p>
            <w:pPr>
              <w:widowControl/>
              <w:spacing w:after="0"/>
              <w:jc w:val="center"/>
              <w:rPr>
                <w:rFonts w:ascii="宋体" w:hAnsi="宋体" w:eastAsia="宋体" w:cs="宋体"/>
                <w:sz w:val="24"/>
              </w:rPr>
            </w:pPr>
            <w:r>
              <w:rPr>
                <w:rFonts w:hint="eastAsia" w:ascii="宋体" w:hAnsi="宋体" w:eastAsia="宋体" w:cs="宋体"/>
                <w:spacing w:val="-20"/>
                <w:sz w:val="24"/>
              </w:rPr>
              <w:t>高级工程师</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13985960958</w:t>
            </w:r>
          </w:p>
        </w:tc>
        <w:tc>
          <w:tcPr>
            <w:tcW w:w="1548" w:type="dxa"/>
            <w:vMerge w:val="restart"/>
            <w:vAlign w:val="center"/>
          </w:tcPr>
          <w:p>
            <w:pPr>
              <w:widowControl/>
              <w:spacing w:after="0"/>
              <w:jc w:val="center"/>
              <w:rPr>
                <w:rFonts w:ascii="宋体" w:hAnsi="宋体" w:eastAsia="宋体" w:cs="宋体"/>
                <w:sz w:val="24"/>
              </w:rPr>
            </w:pPr>
          </w:p>
        </w:tc>
        <w:tc>
          <w:tcPr>
            <w:tcW w:w="1042"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专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exact"/>
          <w:jc w:val="center"/>
        </w:trPr>
        <w:tc>
          <w:tcPr>
            <w:tcW w:w="946" w:type="dxa"/>
            <w:vMerge w:val="continue"/>
            <w:vAlign w:val="center"/>
          </w:tcPr>
          <w:p>
            <w:pPr>
              <w:widowControl/>
              <w:spacing w:after="0"/>
              <w:jc w:val="center"/>
              <w:rPr>
                <w:rFonts w:ascii="宋体" w:hAnsi="宋体" w:eastAsia="宋体" w:cs="宋体"/>
                <w:sz w:val="24"/>
              </w:rPr>
            </w:pPr>
          </w:p>
        </w:tc>
        <w:tc>
          <w:tcPr>
            <w:tcW w:w="1856" w:type="dxa"/>
            <w:vMerge w:val="continue"/>
            <w:vAlign w:val="center"/>
          </w:tcPr>
          <w:p>
            <w:pPr>
              <w:widowControl/>
              <w:spacing w:after="0"/>
              <w:jc w:val="center"/>
              <w:rPr>
                <w:rFonts w:ascii="宋体" w:hAnsi="宋体" w:eastAsia="宋体" w:cs="宋体"/>
                <w:sz w:val="24"/>
              </w:rPr>
            </w:pPr>
          </w:p>
        </w:tc>
        <w:tc>
          <w:tcPr>
            <w:tcW w:w="1444" w:type="dxa"/>
            <w:vMerge w:val="continue"/>
            <w:vAlign w:val="center"/>
          </w:tcPr>
          <w:p>
            <w:pPr>
              <w:widowControl/>
              <w:spacing w:after="0"/>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522321196311040464</w:t>
            </w:r>
          </w:p>
        </w:tc>
        <w:tc>
          <w:tcPr>
            <w:tcW w:w="1548" w:type="dxa"/>
            <w:vMerge w:val="continue"/>
            <w:vAlign w:val="center"/>
          </w:tcPr>
          <w:p>
            <w:pPr>
              <w:widowControl/>
              <w:spacing w:after="0"/>
              <w:jc w:val="center"/>
              <w:rPr>
                <w:rFonts w:ascii="宋体" w:hAnsi="宋体" w:eastAsia="宋体" w:cs="宋体"/>
                <w:sz w:val="24"/>
              </w:rPr>
            </w:pPr>
          </w:p>
        </w:tc>
        <w:tc>
          <w:tcPr>
            <w:tcW w:w="1042" w:type="dxa"/>
            <w:vMerge w:val="continue"/>
            <w:vAlign w:val="center"/>
          </w:tcPr>
          <w:p>
            <w:pPr>
              <w:widowControl/>
              <w:spacing w:after="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jc w:val="center"/>
        </w:trPr>
        <w:tc>
          <w:tcPr>
            <w:tcW w:w="946" w:type="dxa"/>
            <w:vMerge w:val="restart"/>
            <w:vAlign w:val="center"/>
          </w:tcPr>
          <w:p>
            <w:pPr>
              <w:widowControl/>
              <w:spacing w:after="0" w:line="520" w:lineRule="exact"/>
              <w:jc w:val="center"/>
              <w:rPr>
                <w:rFonts w:ascii="宋体" w:hAnsi="宋体" w:eastAsia="宋体" w:cs="宋体"/>
                <w:sz w:val="24"/>
              </w:rPr>
            </w:pPr>
            <w:r>
              <w:rPr>
                <w:rFonts w:hint="eastAsia" w:ascii="宋体" w:hAnsi="宋体" w:eastAsia="宋体" w:cs="宋体"/>
                <w:sz w:val="24"/>
              </w:rPr>
              <w:t>周国龙</w:t>
            </w:r>
          </w:p>
        </w:tc>
        <w:tc>
          <w:tcPr>
            <w:tcW w:w="1856"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贵州省洪鑫</w:t>
            </w:r>
          </w:p>
          <w:p>
            <w:pPr>
              <w:widowControl/>
              <w:spacing w:after="0"/>
              <w:jc w:val="center"/>
              <w:rPr>
                <w:rFonts w:ascii="宋体" w:hAnsi="宋体" w:eastAsia="宋体" w:cs="宋体"/>
                <w:sz w:val="24"/>
              </w:rPr>
            </w:pPr>
            <w:r>
              <w:rPr>
                <w:rFonts w:hint="eastAsia" w:ascii="宋体" w:hAnsi="宋体" w:eastAsia="宋体" w:cs="宋体"/>
                <w:sz w:val="24"/>
              </w:rPr>
              <w:t>环境检测服务</w:t>
            </w:r>
          </w:p>
          <w:p>
            <w:pPr>
              <w:widowControl/>
              <w:spacing w:after="0"/>
              <w:jc w:val="center"/>
              <w:rPr>
                <w:rFonts w:ascii="宋体" w:hAnsi="宋体" w:eastAsia="宋体" w:cs="宋体"/>
                <w:sz w:val="24"/>
              </w:rPr>
            </w:pPr>
            <w:r>
              <w:rPr>
                <w:rFonts w:hint="eastAsia" w:ascii="宋体" w:hAnsi="宋体" w:eastAsia="宋体" w:cs="宋体"/>
                <w:sz w:val="24"/>
              </w:rPr>
              <w:t>有限公司</w:t>
            </w:r>
          </w:p>
        </w:tc>
        <w:tc>
          <w:tcPr>
            <w:tcW w:w="1444" w:type="dxa"/>
            <w:vMerge w:val="restart"/>
            <w:vAlign w:val="center"/>
          </w:tcPr>
          <w:p>
            <w:pPr>
              <w:widowControl/>
              <w:spacing w:after="0"/>
              <w:jc w:val="center"/>
              <w:rPr>
                <w:rFonts w:ascii="宋体" w:hAnsi="宋体" w:eastAsia="宋体" w:cs="宋体"/>
                <w:sz w:val="24"/>
              </w:rPr>
            </w:pPr>
            <w:r>
              <w:rPr>
                <w:rFonts w:hint="eastAsia" w:ascii="宋体" w:hAnsi="宋体" w:eastAsia="宋体" w:cs="宋体"/>
                <w:sz w:val="24"/>
              </w:rPr>
              <w:t>技术员</w:t>
            </w:r>
          </w:p>
        </w:tc>
        <w:tc>
          <w:tcPr>
            <w:tcW w:w="1685" w:type="dxa"/>
            <w:vAlign w:val="center"/>
          </w:tcPr>
          <w:p>
            <w:pPr>
              <w:widowControl/>
              <w:spacing w:after="0"/>
              <w:jc w:val="center"/>
              <w:rPr>
                <w:rFonts w:ascii="宋体" w:hAnsi="宋体" w:eastAsia="宋体" w:cs="宋体"/>
                <w:sz w:val="24"/>
              </w:rPr>
            </w:pPr>
            <w:r>
              <w:rPr>
                <w:rFonts w:hint="eastAsia" w:ascii="宋体" w:hAnsi="宋体" w:eastAsia="宋体" w:cs="宋体"/>
                <w:sz w:val="24"/>
              </w:rPr>
              <w:t>18224953451</w:t>
            </w:r>
          </w:p>
        </w:tc>
        <w:tc>
          <w:tcPr>
            <w:tcW w:w="1548" w:type="dxa"/>
            <w:vMerge w:val="restart"/>
            <w:vAlign w:val="center"/>
          </w:tcPr>
          <w:p>
            <w:pPr>
              <w:widowControl/>
              <w:spacing w:after="0"/>
              <w:jc w:val="center"/>
              <w:rPr>
                <w:rFonts w:ascii="宋体" w:hAnsi="宋体" w:eastAsia="宋体" w:cs="宋体"/>
                <w:sz w:val="24"/>
              </w:rPr>
            </w:pPr>
          </w:p>
        </w:tc>
        <w:tc>
          <w:tcPr>
            <w:tcW w:w="1042" w:type="dxa"/>
            <w:vMerge w:val="restart"/>
            <w:vAlign w:val="center"/>
          </w:tcPr>
          <w:p>
            <w:pPr>
              <w:widowControl/>
              <w:spacing w:after="0"/>
              <w:jc w:val="center"/>
              <w:rPr>
                <w:rFonts w:hint="eastAsia" w:ascii="宋体" w:hAnsi="宋体" w:eastAsia="宋体" w:cs="宋体"/>
                <w:sz w:val="24"/>
              </w:rPr>
            </w:pPr>
            <w:r>
              <w:rPr>
                <w:rFonts w:hint="eastAsia" w:ascii="宋体" w:hAnsi="宋体" w:eastAsia="宋体" w:cs="宋体"/>
                <w:sz w:val="24"/>
              </w:rPr>
              <w:t>监测</w:t>
            </w:r>
          </w:p>
          <w:p>
            <w:pPr>
              <w:widowControl/>
              <w:spacing w:after="0"/>
              <w:jc w:val="center"/>
              <w:rPr>
                <w:rFonts w:ascii="宋体" w:hAnsi="宋体" w:eastAsia="宋体" w:cs="宋体"/>
                <w:sz w:val="24"/>
              </w:rPr>
            </w:pPr>
            <w:r>
              <w:rPr>
                <w:rFonts w:hint="eastAsia" w:ascii="宋体" w:hAnsi="宋体" w:eastAsia="宋体" w:cs="宋体"/>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exact"/>
          <w:jc w:val="center"/>
        </w:trPr>
        <w:tc>
          <w:tcPr>
            <w:tcW w:w="946" w:type="dxa"/>
            <w:vMerge w:val="continue"/>
            <w:vAlign w:val="center"/>
          </w:tcPr>
          <w:p>
            <w:pPr>
              <w:widowControl/>
              <w:spacing w:after="0" w:line="520" w:lineRule="exact"/>
              <w:jc w:val="center"/>
              <w:rPr>
                <w:rFonts w:ascii="宋体" w:hAnsi="宋体" w:eastAsia="宋体" w:cs="宋体"/>
                <w:sz w:val="24"/>
              </w:rPr>
            </w:pPr>
          </w:p>
        </w:tc>
        <w:tc>
          <w:tcPr>
            <w:tcW w:w="1856" w:type="dxa"/>
            <w:vMerge w:val="continue"/>
            <w:vAlign w:val="center"/>
          </w:tcPr>
          <w:p>
            <w:pPr>
              <w:widowControl/>
              <w:spacing w:after="0" w:line="520" w:lineRule="exact"/>
              <w:jc w:val="center"/>
              <w:rPr>
                <w:rFonts w:ascii="宋体" w:hAnsi="宋体" w:eastAsia="宋体" w:cs="宋体"/>
                <w:sz w:val="24"/>
              </w:rPr>
            </w:pPr>
          </w:p>
        </w:tc>
        <w:tc>
          <w:tcPr>
            <w:tcW w:w="1444" w:type="dxa"/>
            <w:vMerge w:val="continue"/>
            <w:vAlign w:val="center"/>
          </w:tcPr>
          <w:p>
            <w:pPr>
              <w:widowControl/>
              <w:spacing w:after="0" w:line="520" w:lineRule="exact"/>
              <w:jc w:val="center"/>
              <w:rPr>
                <w:rFonts w:ascii="宋体" w:hAnsi="宋体" w:eastAsia="宋体" w:cs="宋体"/>
                <w:sz w:val="24"/>
              </w:rPr>
            </w:pPr>
          </w:p>
        </w:tc>
        <w:tc>
          <w:tcPr>
            <w:tcW w:w="1685" w:type="dxa"/>
            <w:vAlign w:val="center"/>
          </w:tcPr>
          <w:p>
            <w:pPr>
              <w:widowControl/>
              <w:spacing w:after="0" w:line="240" w:lineRule="atLeast"/>
              <w:jc w:val="center"/>
              <w:rPr>
                <w:rFonts w:ascii="宋体" w:hAnsi="宋体" w:eastAsia="宋体" w:cs="宋体"/>
                <w:sz w:val="24"/>
              </w:rPr>
            </w:pPr>
            <w:r>
              <w:rPr>
                <w:rFonts w:hint="eastAsia" w:ascii="宋体" w:hAnsi="宋体" w:eastAsia="宋体" w:cs="宋体"/>
                <w:sz w:val="24"/>
              </w:rPr>
              <w:t>522321198712194017</w:t>
            </w:r>
          </w:p>
        </w:tc>
        <w:tc>
          <w:tcPr>
            <w:tcW w:w="1548" w:type="dxa"/>
            <w:vMerge w:val="continue"/>
            <w:vAlign w:val="center"/>
          </w:tcPr>
          <w:p>
            <w:pPr>
              <w:widowControl/>
              <w:spacing w:after="0"/>
              <w:jc w:val="center"/>
              <w:rPr>
                <w:rFonts w:ascii="宋体" w:hAnsi="宋体" w:eastAsia="宋体" w:cs="宋体"/>
                <w:sz w:val="24"/>
              </w:rPr>
            </w:pPr>
          </w:p>
        </w:tc>
        <w:tc>
          <w:tcPr>
            <w:tcW w:w="1042" w:type="dxa"/>
            <w:vMerge w:val="continue"/>
            <w:vAlign w:val="center"/>
          </w:tcPr>
          <w:p>
            <w:pPr>
              <w:widowControl/>
              <w:spacing w:after="0"/>
              <w:jc w:val="center"/>
              <w:rPr>
                <w:rFonts w:ascii="宋体" w:hAnsi="宋体" w:eastAsia="宋体" w:cs="宋体"/>
                <w:sz w:val="24"/>
              </w:rPr>
            </w:pPr>
          </w:p>
        </w:tc>
      </w:tr>
    </w:tbl>
    <w:p>
      <w:pPr>
        <w:spacing w:before="240" w:beforeLines="100" w:after="0" w:line="180" w:lineRule="exact"/>
        <w:rPr>
          <w:rFonts w:ascii="Times New Roman" w:hAnsi="Times New Roman" w:eastAsia="宋体"/>
          <w:color w:val="000000"/>
          <w:sz w:val="21"/>
          <w:szCs w:val="21"/>
        </w:rPr>
      </w:pPr>
      <w:bookmarkStart w:id="30" w:name="_Toc12358_WPSOffice_Level1"/>
      <w:r>
        <w:rPr>
          <w:rFonts w:hint="eastAsia" w:ascii="宋体" w:hAnsi="宋体" w:eastAsia="宋体" w:cs="宋体"/>
          <w:b/>
          <w:sz w:val="21"/>
          <w:szCs w:val="21"/>
        </w:rPr>
        <w:t>备注</w:t>
      </w:r>
      <w:r>
        <w:rPr>
          <w:rFonts w:hint="eastAsia" w:ascii="宋体" w:hAnsi="宋体" w:eastAsia="宋体" w:cs="宋体"/>
          <w:sz w:val="21"/>
          <w:szCs w:val="21"/>
        </w:rPr>
        <w:t>：</w:t>
      </w:r>
      <w:r>
        <w:rPr>
          <w:rFonts w:ascii="Times New Roman" w:hAnsi="Times New Roman" w:eastAsia="宋体"/>
          <w:sz w:val="21"/>
          <w:szCs w:val="21"/>
        </w:rPr>
        <w:t>1、第一行填写</w:t>
      </w:r>
      <w:r>
        <w:rPr>
          <w:rFonts w:ascii="Times New Roman" w:hAnsi="Times New Roman" w:eastAsia="宋体"/>
          <w:color w:val="000000"/>
          <w:sz w:val="21"/>
          <w:szCs w:val="21"/>
        </w:rPr>
        <w:t>验收负责人（建设单位）。</w:t>
      </w:r>
      <w:bookmarkEnd w:id="30"/>
      <w:bookmarkStart w:id="31" w:name="_Toc1629_WPSOffice_Level1"/>
    </w:p>
    <w:p>
      <w:pPr>
        <w:spacing w:before="240" w:beforeLines="100" w:after="0" w:line="180" w:lineRule="exact"/>
        <w:ind w:firstLine="630" w:firstLineChars="300"/>
        <w:rPr>
          <w:rFonts w:ascii="Times New Roman" w:hAnsi="Times New Roman" w:eastAsia="宋体"/>
          <w:sz w:val="21"/>
          <w:szCs w:val="21"/>
        </w:rPr>
      </w:pPr>
      <w:r>
        <w:rPr>
          <w:rFonts w:ascii="Times New Roman" w:hAnsi="Times New Roman" w:eastAsia="宋体"/>
          <w:sz w:val="21"/>
          <w:szCs w:val="21"/>
        </w:rPr>
        <w:t>2、保护设施设计及施工均为项目建设单位。</w:t>
      </w:r>
      <w:bookmarkEnd w:id="31"/>
    </w:p>
    <w:p>
      <w:pPr>
        <w:spacing w:before="120" w:beforeLines="50" w:after="0" w:line="520" w:lineRule="exact"/>
        <w:ind w:firstLine="2240" w:firstLineChars="800"/>
        <w:rPr>
          <w:rFonts w:ascii="宋体" w:hAnsi="宋体" w:eastAsia="宋体" w:cs="宋体"/>
          <w:sz w:val="28"/>
          <w:szCs w:val="28"/>
        </w:rPr>
      </w:pPr>
      <w:r>
        <w:rPr>
          <w:rFonts w:hint="eastAsia" w:ascii="宋体" w:hAnsi="宋体" w:eastAsia="宋体" w:cs="宋体"/>
          <w:sz w:val="28"/>
          <w:szCs w:val="28"/>
        </w:rPr>
        <w:t xml:space="preserve">建设单位盖章：贵州苗通生物医药开发有限公司 </w:t>
      </w:r>
    </w:p>
    <w:p>
      <w:pPr>
        <w:spacing w:line="520" w:lineRule="exact"/>
        <w:ind w:firstLine="560" w:firstLineChars="200"/>
        <w:rPr>
          <w:b/>
          <w:color w:val="000000"/>
          <w:sz w:val="28"/>
          <w:szCs w:val="28"/>
        </w:rPr>
      </w:pPr>
      <w:r>
        <w:rPr>
          <w:rFonts w:hint="eastAsia" w:asciiTheme="minorEastAsia" w:hAnsiTheme="minorEastAsia"/>
          <w:sz w:val="28"/>
          <w:szCs w:val="28"/>
        </w:rPr>
        <w:t xml:space="preserve">                                 </w:t>
      </w:r>
      <w:r>
        <w:rPr>
          <w:rFonts w:hint="eastAsia" w:asciiTheme="minorEastAsia" w:hAnsiTheme="minorEastAsia"/>
          <w:sz w:val="28"/>
          <w:szCs w:val="28"/>
          <w:lang w:val="en-US" w:eastAsia="zh-CN"/>
        </w:rPr>
        <w:t xml:space="preserve">     </w:t>
      </w:r>
      <w:r>
        <w:rPr>
          <w:rFonts w:hint="eastAsia" w:asciiTheme="minorEastAsia" w:hAnsiTheme="minorEastAsia"/>
          <w:sz w:val="28"/>
          <w:szCs w:val="28"/>
        </w:rPr>
        <w:t xml:space="preserve"> </w:t>
      </w:r>
      <w:r>
        <w:rPr>
          <w:rFonts w:hint="eastAsia" w:ascii="宋体" w:hAnsi="宋体" w:eastAsia="宋体" w:cs="宋体"/>
          <w:sz w:val="28"/>
          <w:szCs w:val="28"/>
        </w:rPr>
        <w:t xml:space="preserve">2019年 </w:t>
      </w:r>
      <w:r>
        <w:rPr>
          <w:rFonts w:hint="eastAsia" w:ascii="宋体" w:hAnsi="宋体" w:eastAsia="宋体" w:cs="宋体"/>
          <w:sz w:val="28"/>
          <w:szCs w:val="28"/>
          <w:lang w:val="en-US" w:eastAsia="zh-CN"/>
        </w:rPr>
        <w:t>3</w:t>
      </w:r>
      <w:r>
        <w:rPr>
          <w:rFonts w:hint="eastAsia" w:ascii="宋体" w:hAnsi="宋体" w:eastAsia="宋体" w:cs="宋体"/>
          <w:sz w:val="28"/>
          <w:szCs w:val="28"/>
        </w:rPr>
        <w:t>月</w:t>
      </w:r>
      <w:r>
        <w:rPr>
          <w:rFonts w:hint="eastAsia" w:ascii="宋体" w:hAnsi="宋体" w:eastAsia="宋体" w:cs="宋体"/>
          <w:sz w:val="28"/>
          <w:szCs w:val="28"/>
          <w:lang w:val="en-US" w:eastAsia="zh-CN"/>
        </w:rPr>
        <w:t>8</w:t>
      </w:r>
      <w:r>
        <w:rPr>
          <w:rFonts w:hint="eastAsia" w:ascii="宋体" w:hAnsi="宋体" w:eastAsia="宋体" w:cs="宋体"/>
          <w:sz w:val="28"/>
          <w:szCs w:val="28"/>
        </w:rPr>
        <w:t>日</w:t>
      </w:r>
    </w:p>
    <w:p>
      <w:pPr>
        <w:pStyle w:val="27"/>
        <w:spacing w:before="0" w:beforeAutospacing="0" w:after="0" w:afterAutospacing="0" w:line="360" w:lineRule="auto"/>
        <w:jc w:val="both"/>
        <w:outlineLvl w:val="0"/>
        <w:rPr>
          <w:b/>
          <w:color w:val="000000"/>
          <w:sz w:val="28"/>
          <w:szCs w:val="28"/>
        </w:rPr>
        <w:sectPr>
          <w:footerReference r:id="rId14" w:type="default"/>
          <w:pgSz w:w="11906" w:h="16838"/>
          <w:pgMar w:top="1440" w:right="1800" w:bottom="1440" w:left="1800" w:header="708" w:footer="708" w:gutter="0"/>
          <w:pgNumType w:start="1"/>
          <w:cols w:space="720" w:num="1"/>
          <w:docGrid w:linePitch="360" w:charSpace="0"/>
        </w:sect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0"/>
        <w:spacing w:after="0"/>
        <w:ind w:firstLine="0" w:firstLineChars="0"/>
        <w:jc w:val="center"/>
        <w:rPr>
          <w:rFonts w:eastAsia="宋体"/>
          <w:b/>
          <w:bCs/>
          <w:sz w:val="72"/>
          <w:szCs w:val="72"/>
        </w:rPr>
      </w:pPr>
      <w:bookmarkStart w:id="32" w:name="_Toc4447_WPSOffice_Level2"/>
      <w:r>
        <w:rPr>
          <w:rFonts w:hint="eastAsia" w:eastAsia="宋体"/>
          <w:b/>
          <w:bCs/>
          <w:sz w:val="72"/>
          <w:szCs w:val="72"/>
        </w:rPr>
        <w:t>第</w:t>
      </w:r>
      <w:bookmarkEnd w:id="32"/>
    </w:p>
    <w:p>
      <w:pPr>
        <w:pStyle w:val="6"/>
        <w:spacing w:after="0" w:line="360" w:lineRule="auto"/>
        <w:ind w:firstLine="0" w:firstLineChars="0"/>
        <w:jc w:val="center"/>
        <w:rPr>
          <w:rFonts w:ascii="宋体" w:hAnsi="宋体" w:eastAsia="宋体" w:cs="宋体"/>
          <w:b/>
          <w:bCs/>
          <w:sz w:val="72"/>
          <w:szCs w:val="72"/>
        </w:rPr>
      </w:pPr>
      <w:bookmarkStart w:id="33" w:name="_Toc20077_WPSOffice_Level2"/>
      <w:r>
        <w:rPr>
          <w:rFonts w:hint="eastAsia" w:ascii="宋体" w:hAnsi="宋体" w:eastAsia="宋体" w:cs="宋体"/>
          <w:b/>
          <w:bCs/>
          <w:sz w:val="72"/>
          <w:szCs w:val="72"/>
        </w:rPr>
        <w:t>三</w:t>
      </w:r>
      <w:bookmarkEnd w:id="33"/>
    </w:p>
    <w:p>
      <w:pPr>
        <w:pStyle w:val="6"/>
        <w:spacing w:after="0" w:line="360" w:lineRule="auto"/>
        <w:ind w:firstLine="0" w:firstLineChars="0"/>
        <w:jc w:val="center"/>
        <w:rPr>
          <w:rFonts w:ascii="宋体" w:hAnsi="宋体" w:eastAsia="宋体" w:cs="宋体"/>
          <w:b/>
          <w:bCs/>
          <w:sz w:val="72"/>
          <w:szCs w:val="72"/>
        </w:rPr>
      </w:pPr>
      <w:bookmarkStart w:id="34" w:name="_Toc20745_WPSOffice_Level2"/>
      <w:r>
        <w:rPr>
          <w:rFonts w:hint="eastAsia" w:ascii="宋体" w:hAnsi="宋体" w:eastAsia="宋体" w:cs="宋体"/>
          <w:b/>
          <w:bCs/>
          <w:sz w:val="72"/>
          <w:szCs w:val="72"/>
        </w:rPr>
        <w:t>部</w:t>
      </w:r>
      <w:bookmarkEnd w:id="34"/>
    </w:p>
    <w:p>
      <w:pPr>
        <w:pStyle w:val="6"/>
        <w:spacing w:after="0" w:line="360" w:lineRule="auto"/>
        <w:ind w:firstLine="0" w:firstLineChars="0"/>
        <w:jc w:val="center"/>
        <w:rPr>
          <w:rFonts w:ascii="宋体" w:hAnsi="宋体" w:eastAsia="宋体" w:cs="宋体"/>
          <w:b/>
          <w:bCs/>
          <w:sz w:val="72"/>
          <w:szCs w:val="72"/>
        </w:rPr>
      </w:pPr>
      <w:bookmarkStart w:id="35" w:name="_Toc29331_WPSOffice_Level2"/>
      <w:r>
        <w:rPr>
          <w:rFonts w:hint="eastAsia" w:ascii="宋体" w:hAnsi="宋体" w:eastAsia="宋体" w:cs="宋体"/>
          <w:b/>
          <w:bCs/>
          <w:sz w:val="72"/>
          <w:szCs w:val="72"/>
        </w:rPr>
        <w:t>份</w:t>
      </w:r>
      <w:bookmarkEnd w:id="35"/>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jc w:val="center"/>
        <w:outlineLvl w:val="0"/>
        <w:rPr>
          <w:b/>
          <w:color w:val="000000"/>
          <w:sz w:val="44"/>
          <w:szCs w:val="44"/>
        </w:rPr>
        <w:sectPr>
          <w:footerReference r:id="rId15" w:type="default"/>
          <w:pgSz w:w="11906" w:h="16838"/>
          <w:pgMar w:top="1440" w:right="1800" w:bottom="1440" w:left="1800" w:header="708" w:footer="708" w:gutter="0"/>
          <w:cols w:space="720" w:num="1"/>
          <w:docGrid w:linePitch="360" w:charSpace="0"/>
        </w:sectPr>
      </w:pPr>
    </w:p>
    <w:p>
      <w:pPr>
        <w:pStyle w:val="27"/>
        <w:spacing w:before="0" w:beforeAutospacing="0" w:after="0" w:afterAutospacing="0"/>
        <w:jc w:val="center"/>
        <w:outlineLvl w:val="0"/>
        <w:rPr>
          <w:b/>
          <w:bCs/>
          <w:color w:val="000000"/>
          <w:sz w:val="44"/>
          <w:szCs w:val="44"/>
        </w:rPr>
      </w:pPr>
      <w:r>
        <w:rPr>
          <w:rFonts w:hint="eastAsia"/>
          <w:b/>
          <w:color w:val="000000"/>
          <w:sz w:val="44"/>
          <w:szCs w:val="44"/>
        </w:rPr>
        <w:t>其他说明事项</w:t>
      </w:r>
    </w:p>
    <w:p>
      <w:pPr>
        <w:pStyle w:val="27"/>
        <w:spacing w:before="0" w:beforeAutospacing="0" w:after="0" w:afterAutospacing="0" w:line="440" w:lineRule="exact"/>
        <w:jc w:val="both"/>
        <w:outlineLvl w:val="0"/>
        <w:rPr>
          <w:bCs/>
          <w:color w:val="000000"/>
          <w:sz w:val="21"/>
          <w:szCs w:val="21"/>
        </w:rPr>
      </w:pPr>
    </w:p>
    <w:p>
      <w:pPr>
        <w:numPr>
          <w:ilvl w:val="0"/>
          <w:numId w:val="8"/>
        </w:num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环境保护设计、施工和验收过程简况</w:t>
      </w:r>
    </w:p>
    <w:p>
      <w:pPr>
        <w:numPr>
          <w:ilvl w:val="0"/>
          <w:numId w:val="9"/>
        </w:numPr>
        <w:spacing w:before="120" w:beforeLines="50" w:after="120" w:afterLines="5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设计简况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贵州苗通生物医药开发有限公司兴义市苗通外用膏贴生产线建设项目的环境保护设施已纳入初步设计，环境保护设施的设计基本符合环境保护设计规范的要求并编制了环境保护篇章，落实了防治污染和生态破坏的措施以及环境保护设施投资概算。</w:t>
      </w:r>
    </w:p>
    <w:p>
      <w:pPr>
        <w:numPr>
          <w:ilvl w:val="0"/>
          <w:numId w:val="9"/>
        </w:numPr>
        <w:spacing w:before="120" w:beforeLines="50" w:after="120" w:afterLines="5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施工简况</w:t>
      </w:r>
    </w:p>
    <w:p>
      <w:pPr>
        <w:pStyle w:val="13"/>
        <w:spacing w:beforeAutospacing="0" w:after="0" w:afterAutospacing="0" w:line="360" w:lineRule="auto"/>
        <w:ind w:firstLine="560" w:firstLineChars="200"/>
        <w:rPr>
          <w:rFonts w:ascii="宋体" w:hAnsi="宋体" w:eastAsia="宋体" w:cs="宋体"/>
          <w:sz w:val="28"/>
          <w:szCs w:val="28"/>
        </w:rPr>
      </w:pPr>
      <w:r>
        <w:rPr>
          <w:rFonts w:hint="eastAsia" w:ascii="宋体" w:hAnsi="宋体" w:eastAsia="宋体" w:cs="宋体"/>
          <w:sz w:val="28"/>
          <w:szCs w:val="28"/>
        </w:rPr>
        <w:t>本项目在施工过程中，严格按照设计的要求将环保设施纳入施工合同，环境保护设施的建设进度和资金都有一定的保证，项目建设过程中组织实施了环境影响报告表及其审批决定中提出的环境保护对策措施。</w:t>
      </w:r>
    </w:p>
    <w:p>
      <w:pPr>
        <w:numPr>
          <w:ilvl w:val="0"/>
          <w:numId w:val="9"/>
        </w:numPr>
        <w:spacing w:before="120" w:beforeLines="50" w:after="120" w:afterLines="5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验收过程简况</w:t>
      </w:r>
    </w:p>
    <w:p>
      <w:pPr>
        <w:pStyle w:val="13"/>
        <w:spacing w:beforeAutospacing="0" w:after="0" w:afterAutospacing="0" w:line="360" w:lineRule="auto"/>
        <w:ind w:firstLine="560" w:firstLineChars="200"/>
        <w:rPr>
          <w:rFonts w:ascii="宋体" w:hAnsi="宋体" w:eastAsia="宋体" w:cs="宋体"/>
          <w:sz w:val="28"/>
          <w:szCs w:val="28"/>
        </w:rPr>
      </w:pPr>
      <w:r>
        <w:rPr>
          <w:rFonts w:hint="eastAsia" w:ascii="宋体" w:hAnsi="宋体" w:eastAsia="宋体" w:cs="宋体"/>
          <w:sz w:val="28"/>
          <w:szCs w:val="28"/>
        </w:rPr>
        <w:t>项目于2018年8月开工，2018年10月竣工，同时进行调试营运。满足建设项目竣工环境保护验收监测要求，贵州苗通生物医药开发有限公司 自主开展本项目竣工环境保护验收工作。2019年2月12日，委托贵州省洪鑫环境检测服务有限公司对该项目环保竣工验收监测，并完成项目环保竣工验收监测报告的编制。</w:t>
      </w:r>
    </w:p>
    <w:p>
      <w:pPr>
        <w:spacing w:before="120" w:beforeLines="50" w:after="120" w:afterLines="50"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2019年 </w:t>
      </w:r>
      <w:r>
        <w:rPr>
          <w:rFonts w:hint="eastAsia" w:ascii="宋体" w:hAnsi="宋体" w:eastAsia="宋体" w:cs="宋体"/>
          <w:sz w:val="28"/>
          <w:szCs w:val="28"/>
          <w:lang w:val="en-US" w:eastAsia="zh-CN"/>
        </w:rPr>
        <w:t>3</w:t>
      </w:r>
      <w:r>
        <w:rPr>
          <w:rFonts w:hint="eastAsia" w:ascii="宋体" w:hAnsi="宋体" w:eastAsia="宋体" w:cs="宋体"/>
          <w:sz w:val="28"/>
          <w:szCs w:val="28"/>
        </w:rPr>
        <w:t>月</w:t>
      </w:r>
      <w:r>
        <w:rPr>
          <w:rFonts w:hint="eastAsia" w:ascii="宋体" w:hAnsi="宋体" w:eastAsia="宋体" w:cs="宋体"/>
          <w:sz w:val="28"/>
          <w:szCs w:val="28"/>
          <w:lang w:val="en-US" w:eastAsia="zh-CN"/>
        </w:rPr>
        <w:t>8</w:t>
      </w:r>
      <w:r>
        <w:rPr>
          <w:rFonts w:hint="eastAsia" w:ascii="宋体" w:hAnsi="宋体" w:eastAsia="宋体" w:cs="宋体"/>
          <w:sz w:val="28"/>
          <w:szCs w:val="28"/>
        </w:rPr>
        <w:t>日，贵州苗通生物医药开发有限公司 根据《兴义市苗通外用膏贴生产线建设项目竣工环境保护验收监测报告》，并对照《建设项目竣工环境保护验收暂行办法》，依照国家有关法律法规、建设项目竣工环境保护验收技术规范、本项目环境影响评价报告表和审批部门审批决定等要求对本项目进行了竣工环境保护验收。参加会议的有项目设计单位及施工单位(贵州苗通生物医药开发有限公司)、验收监测单位(贵州省洪鑫环境检测服务有限公司)相关负责人及黔西南州环境监测站龚振江、曹环礼、刘国华3位特邀专家，环评单位(福建瑞科工程管理咨询有限公司)到现场。验收组现场检查了项目环保设施的建设情况，听取了建设单位关于项目环境保护执行情况的介绍，经认真讨论，形成验收意见（验收意见及验收组人员名单详见项目竣工环境保护验收第二部分内容：验收意见）。</w:t>
      </w:r>
    </w:p>
    <w:p>
      <w:pPr>
        <w:spacing w:before="120" w:beforeLines="50" w:after="120" w:afterLines="5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4、公众反馈意见及处理情况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项目设计、施工和验收期间未收到公众反馈意见及投诉。</w:t>
      </w:r>
    </w:p>
    <w:p>
      <w:pPr>
        <w:spacing w:before="120" w:beforeLines="50" w:after="120" w:afterLines="50" w:line="360" w:lineRule="auto"/>
        <w:ind w:firstLine="281" w:firstLineChars="100"/>
        <w:rPr>
          <w:rFonts w:ascii="宋体" w:hAnsi="宋体" w:eastAsia="宋体" w:cs="宋体"/>
          <w:b/>
          <w:bCs/>
          <w:sz w:val="28"/>
          <w:szCs w:val="28"/>
        </w:rPr>
      </w:pPr>
      <w:r>
        <w:rPr>
          <w:rFonts w:hint="eastAsia" w:ascii="宋体" w:hAnsi="宋体" w:eastAsia="宋体" w:cs="宋体"/>
          <w:b/>
          <w:bCs/>
          <w:sz w:val="28"/>
          <w:szCs w:val="28"/>
        </w:rPr>
        <w:t>二、其他环境保护措施的落实情况</w:t>
      </w:r>
    </w:p>
    <w:p>
      <w:pPr>
        <w:pStyle w:val="13"/>
        <w:spacing w:before="120" w:beforeLines="50" w:beforeAutospacing="0" w:after="120" w:afterLines="50" w:afterAutospacing="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1、制度措施落实情况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按环评要求建立了环保组织机构及领导小组，明确岗位职责，由专人负责日常管理。</w:t>
      </w:r>
    </w:p>
    <w:p>
      <w:pPr>
        <w:numPr>
          <w:ilvl w:val="0"/>
          <w:numId w:val="10"/>
        </w:numPr>
        <w:spacing w:before="120" w:beforeLines="50" w:after="120" w:afterLines="50"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环境风险防范措施</w:t>
      </w:r>
    </w:p>
    <w:p>
      <w:pPr>
        <w:spacing w:line="360" w:lineRule="auto"/>
        <w:ind w:firstLine="560" w:firstLineChars="200"/>
        <w:rPr>
          <w:bCs/>
          <w:color w:val="000000"/>
          <w:sz w:val="28"/>
          <w:szCs w:val="28"/>
        </w:rPr>
        <w:sectPr>
          <w:footerReference r:id="rId16" w:type="default"/>
          <w:pgSz w:w="11906" w:h="16838"/>
          <w:pgMar w:top="1440" w:right="1800" w:bottom="1440" w:left="1800" w:header="708" w:footer="708" w:gutter="0"/>
          <w:cols w:space="720" w:num="1"/>
          <w:docGrid w:linePitch="360" w:charSpace="0"/>
        </w:sectPr>
      </w:pPr>
      <w:r>
        <w:rPr>
          <w:rFonts w:hint="eastAsia" w:ascii="宋体" w:hAnsi="宋体" w:eastAsia="宋体" w:cs="宋体"/>
          <w:sz w:val="28"/>
          <w:szCs w:val="28"/>
        </w:rPr>
        <w:t>项目目前尚未制定环境风险应急预案。</w:t>
      </w:r>
    </w:p>
    <w:p>
      <w:pPr>
        <w:spacing w:after="0" w:line="360" w:lineRule="auto"/>
        <w:rPr>
          <w:rFonts w:ascii="宋体" w:hAnsi="宋体" w:eastAsia="宋体" w:cs="宋体"/>
          <w:b/>
          <w:sz w:val="24"/>
          <w:szCs w:val="24"/>
        </w:rPr>
      </w:pPr>
      <w:r>
        <w:rPr>
          <w:rFonts w:hint="eastAsia" w:ascii="宋体" w:hAnsi="宋体" w:eastAsia="宋体" w:cs="宋体"/>
          <w:b/>
          <w:sz w:val="24"/>
          <w:szCs w:val="24"/>
        </w:rPr>
        <w:t>附件1</w:t>
      </w:r>
    </w:p>
    <w:p>
      <w:pPr>
        <w:spacing w:after="0" w:line="360" w:lineRule="auto"/>
        <w:rPr>
          <w:rFonts w:ascii="宋体" w:hAnsi="宋体" w:eastAsia="宋体" w:cs="宋体"/>
          <w:sz w:val="24"/>
          <w:szCs w:val="24"/>
        </w:rPr>
        <w:sectPr>
          <w:footerReference r:id="rId17" w:type="default"/>
          <w:pgSz w:w="11906" w:h="16838"/>
          <w:pgMar w:top="1440" w:right="1800" w:bottom="1440" w:left="1800" w:header="708" w:footer="708" w:gutter="0"/>
          <w:cols w:space="720" w:num="1"/>
          <w:docGrid w:linePitch="360" w:charSpace="0"/>
        </w:sectPr>
      </w:pPr>
      <w:r>
        <w:rPr>
          <w:rFonts w:hint="eastAsia" w:ascii="宋体" w:hAnsi="宋体" w:eastAsia="宋体" w:cs="宋体"/>
          <w:sz w:val="24"/>
          <w:szCs w:val="24"/>
        </w:rPr>
        <w:drawing>
          <wp:inline distT="0" distB="0" distL="114300" distR="114300">
            <wp:extent cx="5269865" cy="7493000"/>
            <wp:effectExtent l="0" t="0" r="6985" b="12700"/>
            <wp:docPr id="23" name="图片 23" descr="Doc2019022616305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201902261630590001"/>
                    <pic:cNvPicPr>
                      <a:picLocks noChangeAspect="1"/>
                    </pic:cNvPicPr>
                  </pic:nvPicPr>
                  <pic:blipFill>
                    <a:blip r:embed="rId24"/>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auto"/>
        <w:jc w:val="both"/>
        <w:outlineLvl w:val="0"/>
        <w:rPr>
          <w:b/>
          <w:color w:val="000000"/>
        </w:rPr>
      </w:pPr>
      <w:r>
        <w:rPr>
          <w:rFonts w:hint="eastAsia"/>
          <w:b/>
          <w:color w:val="000000"/>
        </w:rPr>
        <w:t>附件2</w:t>
      </w:r>
    </w:p>
    <w:p>
      <w:pPr>
        <w:pStyle w:val="27"/>
        <w:spacing w:before="0" w:beforeAutospacing="0" w:after="0" w:afterAutospacing="0" w:line="360" w:lineRule="auto"/>
        <w:jc w:val="both"/>
        <w:outlineLvl w:val="0"/>
        <w:rPr>
          <w:color w:val="000000"/>
        </w:rPr>
      </w:pPr>
      <w:r>
        <w:rPr>
          <w:rFonts w:hint="eastAsia"/>
          <w:bCs/>
          <w:color w:val="000000"/>
          <w:sz w:val="21"/>
          <w:szCs w:val="21"/>
        </w:rPr>
        <w:drawing>
          <wp:inline distT="0" distB="0" distL="114300" distR="114300">
            <wp:extent cx="5269865" cy="7493000"/>
            <wp:effectExtent l="0" t="0" r="6985" b="12700"/>
            <wp:docPr id="24" name="图片 24" descr="Doc2019022616320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oc201902261632070001"/>
                    <pic:cNvPicPr>
                      <a:picLocks noChangeAspect="1"/>
                    </pic:cNvPicPr>
                  </pic:nvPicPr>
                  <pic:blipFill>
                    <a:blip r:embed="rId25"/>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auto"/>
        <w:jc w:val="both"/>
        <w:outlineLvl w:val="0"/>
        <w:rPr>
          <w:bCs/>
          <w:color w:val="000000"/>
          <w:sz w:val="21"/>
          <w:szCs w:val="21"/>
        </w:rPr>
      </w:pPr>
      <w:r>
        <w:rPr>
          <w:rFonts w:hint="eastAsia"/>
          <w:bCs/>
          <w:color w:val="000000"/>
          <w:sz w:val="21"/>
          <w:szCs w:val="21"/>
        </w:rPr>
        <w:drawing>
          <wp:inline distT="0" distB="0" distL="114300" distR="114300">
            <wp:extent cx="5269865" cy="7493000"/>
            <wp:effectExtent l="0" t="0" r="6985" b="12700"/>
            <wp:docPr id="25" name="图片 25" descr="Doc2019022616320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oc201902261632070002"/>
                    <pic:cNvPicPr>
                      <a:picLocks noChangeAspect="1"/>
                    </pic:cNvPicPr>
                  </pic:nvPicPr>
                  <pic:blipFill>
                    <a:blip r:embed="rId26"/>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auto"/>
        <w:jc w:val="both"/>
        <w:outlineLvl w:val="0"/>
        <w:rPr>
          <w:bCs/>
          <w:color w:val="000000"/>
          <w:sz w:val="21"/>
          <w:szCs w:val="21"/>
        </w:rPr>
      </w:pPr>
    </w:p>
    <w:p>
      <w:pPr>
        <w:pStyle w:val="27"/>
        <w:spacing w:before="0" w:beforeAutospacing="0" w:after="0" w:afterAutospacing="0"/>
        <w:jc w:val="both"/>
        <w:outlineLvl w:val="0"/>
      </w:pPr>
    </w:p>
    <w:p>
      <w:pPr>
        <w:pStyle w:val="27"/>
        <w:spacing w:before="0" w:beforeAutospacing="0" w:after="0" w:afterAutospacing="0"/>
        <w:jc w:val="both"/>
        <w:outlineLvl w:val="0"/>
      </w:pPr>
    </w:p>
    <w:p>
      <w:pPr>
        <w:pStyle w:val="27"/>
        <w:spacing w:before="0" w:beforeAutospacing="0" w:after="0" w:afterAutospacing="0"/>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jc w:val="both"/>
        <w:outlineLvl w:val="0"/>
        <w:rPr>
          <w:b/>
          <w:color w:val="000000"/>
          <w:sz w:val="21"/>
          <w:szCs w:val="21"/>
        </w:rPr>
      </w:pPr>
    </w:p>
    <w:p>
      <w:pPr>
        <w:pStyle w:val="27"/>
        <w:spacing w:before="0" w:beforeAutospacing="0" w:after="0" w:afterAutospacing="0"/>
        <w:jc w:val="both"/>
        <w:outlineLvl w:val="0"/>
        <w:sectPr>
          <w:footerReference r:id="rId18" w:type="default"/>
          <w:pgSz w:w="11906" w:h="16838"/>
          <w:pgMar w:top="1440" w:right="1800" w:bottom="1440" w:left="1800" w:header="708" w:footer="708" w:gutter="0"/>
          <w:cols w:space="720" w:num="1"/>
          <w:docGrid w:linePitch="360" w:charSpace="0"/>
        </w:sectPr>
      </w:pPr>
    </w:p>
    <w:p>
      <w:pPr>
        <w:pStyle w:val="27"/>
        <w:spacing w:before="0" w:beforeAutospacing="0" w:after="0" w:afterAutospacing="0"/>
        <w:jc w:val="both"/>
        <w:outlineLvl w:val="0"/>
        <w:rPr>
          <w:b/>
          <w:bCs/>
        </w:rPr>
      </w:pPr>
      <w:r>
        <w:rPr>
          <w:rFonts w:hint="eastAsia"/>
          <w:b/>
          <w:bCs/>
        </w:rPr>
        <w:t>附件3</w:t>
      </w:r>
    </w:p>
    <w:p>
      <w:pPr>
        <w:pStyle w:val="27"/>
        <w:spacing w:before="0" w:beforeAutospacing="0" w:after="0" w:afterAutospacing="0"/>
        <w:jc w:val="both"/>
        <w:outlineLvl w:val="0"/>
        <w:rPr>
          <w:bCs/>
          <w:sz w:val="28"/>
          <w:szCs w:val="28"/>
        </w:rPr>
      </w:pPr>
    </w:p>
    <w:p>
      <w:pPr>
        <w:pStyle w:val="27"/>
        <w:spacing w:before="0" w:beforeAutospacing="0" w:after="0" w:afterAutospacing="0" w:line="360" w:lineRule="auto"/>
        <w:jc w:val="center"/>
        <w:outlineLvl w:val="0"/>
      </w:pPr>
      <w:r>
        <w:rPr>
          <w:rFonts w:hint="eastAsia"/>
          <w:b/>
          <w:sz w:val="28"/>
          <w:szCs w:val="28"/>
        </w:rPr>
        <w:t>兴义市苗通外用膏贴生产线建设项目</w:t>
      </w:r>
      <w:r>
        <w:rPr>
          <w:b/>
          <w:sz w:val="28"/>
          <w:szCs w:val="28"/>
        </w:rPr>
        <w:t>环保设施竣工验收一览表</w:t>
      </w:r>
    </w:p>
    <w:tbl>
      <w:tblPr>
        <w:tblStyle w:val="18"/>
        <w:tblW w:w="95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98"/>
        <w:gridCol w:w="3975"/>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6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项 目</w:t>
            </w:r>
          </w:p>
        </w:tc>
        <w:tc>
          <w:tcPr>
            <w:tcW w:w="169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污染物</w:t>
            </w:r>
          </w:p>
        </w:tc>
        <w:tc>
          <w:tcPr>
            <w:tcW w:w="397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措   施</w:t>
            </w:r>
          </w:p>
        </w:tc>
        <w:tc>
          <w:tcPr>
            <w:tcW w:w="3153"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4" w:hRule="atLeast"/>
          <w:jc w:val="center"/>
        </w:trPr>
        <w:tc>
          <w:tcPr>
            <w:tcW w:w="766"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废气治理</w:t>
            </w:r>
          </w:p>
        </w:tc>
        <w:tc>
          <w:tcPr>
            <w:tcW w:w="1698"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挥发性有机物</w:t>
            </w:r>
          </w:p>
        </w:tc>
        <w:tc>
          <w:tcPr>
            <w:tcW w:w="3975"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bCs/>
                <w:sz w:val="21"/>
                <w:szCs w:val="21"/>
              </w:rPr>
              <w:t>混合机自带捕尘器，混合阶段全封闭，按照无菌实验室要求装修，设置有统一排风扇，并安装有活性炭过滤装置；生产工人在生产过程中佩戴口罩</w:t>
            </w:r>
          </w:p>
        </w:tc>
        <w:tc>
          <w:tcPr>
            <w:tcW w:w="3153"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化粪池H</w:t>
            </w:r>
            <w:r>
              <w:rPr>
                <w:rFonts w:hint="eastAsia" w:ascii="宋体" w:hAnsi="宋体" w:eastAsia="宋体" w:cs="宋体"/>
                <w:sz w:val="21"/>
                <w:szCs w:val="21"/>
                <w:vertAlign w:val="subscript"/>
              </w:rPr>
              <w:t>2</w:t>
            </w:r>
            <w:r>
              <w:rPr>
                <w:rFonts w:hint="eastAsia" w:ascii="宋体" w:hAnsi="宋体" w:eastAsia="宋体" w:cs="宋体"/>
                <w:sz w:val="21"/>
                <w:szCs w:val="21"/>
              </w:rPr>
              <w:t>S、NH</w:t>
            </w:r>
            <w:r>
              <w:rPr>
                <w:rFonts w:hint="eastAsia" w:ascii="宋体" w:hAnsi="宋体" w:eastAsia="宋体" w:cs="宋体"/>
                <w:sz w:val="21"/>
                <w:szCs w:val="21"/>
                <w:vertAlign w:val="subscript"/>
              </w:rPr>
              <w:t>3</w:t>
            </w:r>
          </w:p>
        </w:tc>
        <w:tc>
          <w:tcPr>
            <w:tcW w:w="3975" w:type="dxa"/>
            <w:vAlign w:val="center"/>
          </w:tcPr>
          <w:p>
            <w:pPr>
              <w:pStyle w:val="55"/>
              <w:spacing w:after="0" w:line="240" w:lineRule="atLeast"/>
              <w:ind w:firstLine="0"/>
              <w:jc w:val="center"/>
              <w:rPr>
                <w:rFonts w:ascii="宋体" w:hAnsi="宋体" w:eastAsia="宋体" w:cs="宋体"/>
                <w:sz w:val="21"/>
                <w:szCs w:val="21"/>
              </w:rPr>
            </w:pPr>
            <w:r>
              <w:rPr>
                <w:rFonts w:hint="eastAsia" w:ascii="宋体" w:hAnsi="宋体" w:eastAsia="宋体" w:cs="宋体"/>
                <w:sz w:val="21"/>
                <w:szCs w:val="21"/>
              </w:rPr>
              <w:t>化粪池设计采用地埋式，加盖密封，由专人负责定期清掏。</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76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废水治理</w:t>
            </w:r>
          </w:p>
        </w:tc>
        <w:tc>
          <w:tcPr>
            <w:tcW w:w="169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地面清洗废水和职工生活污水</w:t>
            </w:r>
          </w:p>
        </w:tc>
        <w:tc>
          <w:tcPr>
            <w:tcW w:w="397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化粪池（</w:t>
            </w:r>
            <w:bookmarkStart w:id="36" w:name="OLE_LINK25"/>
            <w:r>
              <w:rPr>
                <w:rFonts w:hint="eastAsia" w:ascii="宋体" w:hAnsi="宋体" w:eastAsia="宋体" w:cs="宋体"/>
                <w:sz w:val="21"/>
                <w:szCs w:val="21"/>
              </w:rPr>
              <w:t>≥</w:t>
            </w:r>
            <w:bookmarkEnd w:id="36"/>
            <w:r>
              <w:rPr>
                <w:rFonts w:hint="eastAsia" w:ascii="宋体" w:hAnsi="宋体" w:eastAsia="宋体" w:cs="宋体"/>
                <w:sz w:val="21"/>
                <w:szCs w:val="21"/>
              </w:rPr>
              <w:t>10m</w:t>
            </w:r>
            <w:r>
              <w:rPr>
                <w:rFonts w:hint="eastAsia" w:ascii="宋体" w:hAnsi="宋体" w:eastAsia="宋体" w:cs="宋体"/>
                <w:sz w:val="21"/>
                <w:szCs w:val="21"/>
                <w:vertAlign w:val="superscript"/>
              </w:rPr>
              <w:t>3</w:t>
            </w:r>
            <w:r>
              <w:rPr>
                <w:rFonts w:hint="eastAsia" w:ascii="宋体" w:hAnsi="宋体" w:eastAsia="宋体" w:cs="宋体"/>
                <w:sz w:val="21"/>
                <w:szCs w:val="21"/>
              </w:rPr>
              <w:t>）一座</w:t>
            </w:r>
          </w:p>
        </w:tc>
        <w:tc>
          <w:tcPr>
            <w:tcW w:w="3153"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766"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噪声治理</w:t>
            </w:r>
          </w:p>
        </w:tc>
        <w:tc>
          <w:tcPr>
            <w:tcW w:w="169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机械噪声</w:t>
            </w:r>
          </w:p>
        </w:tc>
        <w:tc>
          <w:tcPr>
            <w:tcW w:w="397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低噪型设备，设隔振基础或铺垫减振垫</w:t>
            </w:r>
          </w:p>
        </w:tc>
        <w:tc>
          <w:tcPr>
            <w:tcW w:w="3153"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《工业企业厂界环境噪声排放标准》（GB12348-2008）中2类标准限值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运输车辆噪声</w:t>
            </w:r>
          </w:p>
        </w:tc>
        <w:tc>
          <w:tcPr>
            <w:tcW w:w="397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设置减速行驶标识牌</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排风扇和空调外机</w:t>
            </w:r>
          </w:p>
        </w:tc>
        <w:tc>
          <w:tcPr>
            <w:tcW w:w="3975"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双层墙体隔声，安装防声罩</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66"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固体废物处理</w:t>
            </w:r>
          </w:p>
        </w:tc>
        <w:tc>
          <w:tcPr>
            <w:tcW w:w="1698"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原材料包装箱</w:t>
            </w:r>
          </w:p>
        </w:tc>
        <w:tc>
          <w:tcPr>
            <w:tcW w:w="3975"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外售给造纸厂</w:t>
            </w:r>
          </w:p>
        </w:tc>
        <w:tc>
          <w:tcPr>
            <w:tcW w:w="3153" w:type="dxa"/>
            <w:vMerge w:val="restart"/>
            <w:vAlign w:val="center"/>
          </w:tcPr>
          <w:p>
            <w:pPr>
              <w:spacing w:after="0"/>
              <w:jc w:val="center"/>
              <w:rPr>
                <w:rFonts w:ascii="宋体" w:hAnsi="宋体" w:eastAsia="宋体" w:cs="宋体"/>
                <w:sz w:val="21"/>
                <w:szCs w:val="21"/>
              </w:rPr>
            </w:pPr>
            <w:r>
              <w:rPr>
                <w:rFonts w:hint="eastAsia" w:ascii="宋体" w:hAnsi="宋体" w:eastAsia="宋体" w:cs="宋体"/>
                <w:sz w:val="21"/>
                <w:szCs w:val="21"/>
              </w:rPr>
              <w:t>减量化、无害化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盛装桉油和乙醇容器</w:t>
            </w:r>
          </w:p>
        </w:tc>
        <w:tc>
          <w:tcPr>
            <w:tcW w:w="3975"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由厂家回收后再利用</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生活垃圾</w:t>
            </w:r>
          </w:p>
        </w:tc>
        <w:tc>
          <w:tcPr>
            <w:tcW w:w="3975" w:type="dxa"/>
            <w:vAlign w:val="center"/>
          </w:tcPr>
          <w:p>
            <w:pPr>
              <w:spacing w:after="0" w:line="280" w:lineRule="exact"/>
              <w:rPr>
                <w:rFonts w:ascii="宋体" w:hAnsi="宋体" w:eastAsia="宋体" w:cs="宋体"/>
                <w:sz w:val="21"/>
                <w:szCs w:val="21"/>
              </w:rPr>
            </w:pPr>
            <w:r>
              <w:rPr>
                <w:rFonts w:hint="eastAsia" w:ascii="宋体" w:hAnsi="宋体" w:eastAsia="宋体" w:cs="宋体"/>
                <w:sz w:val="21"/>
                <w:szCs w:val="21"/>
              </w:rPr>
              <w:t>统一收集，运至附近垃圾回收点，由当地环卫部门统一处理。</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污泥</w:t>
            </w:r>
          </w:p>
        </w:tc>
        <w:tc>
          <w:tcPr>
            <w:tcW w:w="3975" w:type="dxa"/>
            <w:vAlign w:val="center"/>
          </w:tcPr>
          <w:p>
            <w:pPr>
              <w:spacing w:after="0" w:line="280" w:lineRule="exact"/>
              <w:rPr>
                <w:rFonts w:ascii="宋体" w:hAnsi="宋体" w:eastAsia="宋体" w:cs="宋体"/>
                <w:sz w:val="21"/>
                <w:szCs w:val="21"/>
              </w:rPr>
            </w:pPr>
            <w:r>
              <w:rPr>
                <w:rFonts w:hint="eastAsia" w:ascii="宋体" w:hAnsi="宋体" w:eastAsia="宋体" w:cs="宋体"/>
                <w:sz w:val="21"/>
                <w:szCs w:val="21"/>
              </w:rPr>
              <w:t>化粪池污泥为一般固废，定期清掏，由环卫吸粪车清运至污水处理厂进行进一步处理。</w:t>
            </w:r>
          </w:p>
        </w:tc>
        <w:tc>
          <w:tcPr>
            <w:tcW w:w="3153" w:type="dxa"/>
            <w:vMerge w:val="continue"/>
            <w:vAlign w:val="center"/>
          </w:tcPr>
          <w:p>
            <w:pPr>
              <w:spacing w:after="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66" w:type="dxa"/>
            <w:vMerge w:val="continue"/>
            <w:vAlign w:val="center"/>
          </w:tcPr>
          <w:p>
            <w:pPr>
              <w:spacing w:after="0"/>
              <w:jc w:val="center"/>
              <w:rPr>
                <w:rFonts w:ascii="宋体" w:hAnsi="宋体" w:eastAsia="宋体" w:cs="宋体"/>
                <w:sz w:val="21"/>
                <w:szCs w:val="21"/>
              </w:rPr>
            </w:pPr>
          </w:p>
        </w:tc>
        <w:tc>
          <w:tcPr>
            <w:tcW w:w="1698" w:type="dxa"/>
            <w:vAlign w:val="center"/>
          </w:tcPr>
          <w:p>
            <w:pPr>
              <w:spacing w:after="0" w:line="280" w:lineRule="exact"/>
              <w:jc w:val="center"/>
              <w:rPr>
                <w:rFonts w:ascii="宋体" w:hAnsi="宋体" w:eastAsia="宋体" w:cs="宋体"/>
                <w:sz w:val="21"/>
                <w:szCs w:val="21"/>
              </w:rPr>
            </w:pPr>
            <w:r>
              <w:rPr>
                <w:rFonts w:hint="eastAsia" w:ascii="宋体" w:hAnsi="宋体" w:eastAsia="宋体" w:cs="宋体"/>
                <w:sz w:val="21"/>
                <w:szCs w:val="21"/>
              </w:rPr>
              <w:t>废活性炭</w:t>
            </w:r>
          </w:p>
        </w:tc>
        <w:tc>
          <w:tcPr>
            <w:tcW w:w="3975" w:type="dxa"/>
            <w:vAlign w:val="center"/>
          </w:tcPr>
          <w:p>
            <w:pPr>
              <w:spacing w:after="0" w:line="280" w:lineRule="exact"/>
              <w:rPr>
                <w:rFonts w:ascii="宋体" w:hAnsi="宋体" w:eastAsia="宋体" w:cs="宋体"/>
                <w:sz w:val="21"/>
                <w:szCs w:val="21"/>
              </w:rPr>
            </w:pPr>
            <w:r>
              <w:rPr>
                <w:rFonts w:hint="eastAsia" w:ascii="宋体" w:hAnsi="宋体" w:eastAsia="宋体" w:cs="宋体"/>
                <w:sz w:val="21"/>
                <w:szCs w:val="21"/>
              </w:rPr>
              <w:t>由厂家回收利用</w:t>
            </w:r>
          </w:p>
        </w:tc>
        <w:tc>
          <w:tcPr>
            <w:tcW w:w="3153" w:type="dxa"/>
            <w:vMerge w:val="continue"/>
            <w:vAlign w:val="center"/>
          </w:tcPr>
          <w:p>
            <w:pPr>
              <w:spacing w:after="0"/>
              <w:jc w:val="center"/>
              <w:rPr>
                <w:rFonts w:ascii="宋体" w:hAnsi="宋体" w:eastAsia="宋体" w:cs="宋体"/>
                <w:sz w:val="21"/>
                <w:szCs w:val="21"/>
              </w:rPr>
            </w:pPr>
          </w:p>
        </w:tc>
      </w:tr>
    </w:tbl>
    <w:p>
      <w:pPr>
        <w:pStyle w:val="27"/>
        <w:spacing w:before="0" w:beforeAutospacing="0" w:after="0" w:afterAutospacing="0"/>
        <w:jc w:val="both"/>
        <w:outlineLvl w:val="0"/>
        <w:sectPr>
          <w:pgSz w:w="11906" w:h="16838"/>
          <w:pgMar w:top="1440" w:right="1800" w:bottom="1440" w:left="1800" w:header="708" w:footer="708" w:gutter="0"/>
          <w:cols w:space="720" w:num="1"/>
          <w:docGrid w:linePitch="360" w:charSpace="0"/>
        </w:sectPr>
      </w:pPr>
    </w:p>
    <w:p>
      <w:pPr>
        <w:pStyle w:val="27"/>
        <w:spacing w:before="0" w:beforeAutospacing="0" w:after="0" w:afterAutospacing="0"/>
        <w:jc w:val="both"/>
        <w:outlineLvl w:val="0"/>
        <w:rPr>
          <w:b/>
          <w:bCs/>
        </w:rPr>
      </w:pPr>
      <w:r>
        <w:rPr>
          <w:rFonts w:hint="eastAsia"/>
          <w:b/>
          <w:bCs/>
        </w:rPr>
        <w:t>附件4</w:t>
      </w:r>
    </w:p>
    <w:p>
      <w:pPr>
        <w:pStyle w:val="27"/>
        <w:spacing w:before="0" w:beforeAutospacing="0" w:after="0" w:afterAutospacing="0"/>
        <w:jc w:val="both"/>
        <w:outlineLvl w:val="0"/>
        <w:rPr>
          <w:bCs/>
          <w:sz w:val="28"/>
          <w:szCs w:val="28"/>
        </w:rPr>
      </w:pPr>
    </w:p>
    <w:p>
      <w:pPr>
        <w:pStyle w:val="27"/>
        <w:spacing w:before="0" w:beforeAutospacing="0" w:after="0" w:afterAutospacing="0" w:line="360" w:lineRule="auto"/>
        <w:jc w:val="both"/>
        <w:outlineLvl w:val="0"/>
      </w:pPr>
      <w:r>
        <w:rPr>
          <w:rFonts w:hint="eastAsia"/>
        </w:rPr>
        <w:drawing>
          <wp:inline distT="0" distB="0" distL="114300" distR="114300">
            <wp:extent cx="5269865" cy="7493000"/>
            <wp:effectExtent l="0" t="0" r="6985" b="12700"/>
            <wp:docPr id="13" name="图片 13" descr="Doc201902281140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201902281140020001"/>
                    <pic:cNvPicPr>
                      <a:picLocks noChangeAspect="1"/>
                    </pic:cNvPicPr>
                  </pic:nvPicPr>
                  <pic:blipFill>
                    <a:blip r:embed="rId27"/>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auto"/>
        <w:jc w:val="both"/>
        <w:outlineLvl w:val="0"/>
      </w:pPr>
    </w:p>
    <w:p>
      <w:pPr>
        <w:pStyle w:val="27"/>
        <w:spacing w:before="0" w:beforeAutospacing="0" w:after="0" w:afterAutospacing="0" w:line="360" w:lineRule="auto"/>
        <w:jc w:val="both"/>
        <w:outlineLvl w:val="0"/>
        <w:sectPr>
          <w:pgSz w:w="11906" w:h="16838"/>
          <w:pgMar w:top="1440" w:right="1800" w:bottom="1440" w:left="1800" w:header="708" w:footer="708" w:gutter="0"/>
          <w:cols w:space="720" w:num="1"/>
          <w:docGrid w:linePitch="360" w:charSpace="0"/>
        </w:sectPr>
      </w:pPr>
      <w:r>
        <w:rPr>
          <w:rFonts w:hint="eastAsia"/>
        </w:rPr>
        <w:drawing>
          <wp:inline distT="0" distB="0" distL="114300" distR="114300">
            <wp:extent cx="5269865" cy="7493000"/>
            <wp:effectExtent l="0" t="0" r="6985" b="12700"/>
            <wp:docPr id="22" name="图片 22" descr="Doc2019022811400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c201902281140020002"/>
                    <pic:cNvPicPr>
                      <a:picLocks noChangeAspect="1"/>
                    </pic:cNvPicPr>
                  </pic:nvPicPr>
                  <pic:blipFill>
                    <a:blip r:embed="rId28"/>
                    <a:stretch>
                      <a:fillRect/>
                    </a:stretch>
                  </pic:blipFill>
                  <pic:spPr>
                    <a:xfrm>
                      <a:off x="0" y="0"/>
                      <a:ext cx="5269865" cy="7493000"/>
                    </a:xfrm>
                    <a:prstGeom prst="rect">
                      <a:avLst/>
                    </a:prstGeom>
                  </pic:spPr>
                </pic:pic>
              </a:graphicData>
            </a:graphic>
          </wp:inline>
        </w:drawing>
      </w:r>
      <w:r>
        <w:rPr>
          <w:rFonts w:hint="eastAsia"/>
        </w:rPr>
        <w:drawing>
          <wp:inline distT="0" distB="0" distL="114300" distR="114300">
            <wp:extent cx="5269865" cy="7493000"/>
            <wp:effectExtent l="0" t="0" r="6985" b="12700"/>
            <wp:docPr id="26" name="图片 26" descr="Doc2019022811400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oc201902281140020003"/>
                    <pic:cNvPicPr>
                      <a:picLocks noChangeAspect="1"/>
                    </pic:cNvPicPr>
                  </pic:nvPicPr>
                  <pic:blipFill>
                    <a:blip r:embed="rId29"/>
                    <a:stretch>
                      <a:fillRect/>
                    </a:stretch>
                  </pic:blipFill>
                  <pic:spPr>
                    <a:xfrm>
                      <a:off x="0" y="0"/>
                      <a:ext cx="5269865" cy="7493000"/>
                    </a:xfrm>
                    <a:prstGeom prst="rect">
                      <a:avLst/>
                    </a:prstGeom>
                  </pic:spPr>
                </pic:pic>
              </a:graphicData>
            </a:graphic>
          </wp:inline>
        </w:drawing>
      </w:r>
      <w:r>
        <w:rPr>
          <w:rFonts w:hint="eastAsia"/>
        </w:rPr>
        <w:drawing>
          <wp:inline distT="0" distB="0" distL="114300" distR="114300">
            <wp:extent cx="5269865" cy="7493000"/>
            <wp:effectExtent l="0" t="0" r="6985" b="12700"/>
            <wp:docPr id="27" name="图片 27" descr="Doc2019022811400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oc201902281140020004"/>
                    <pic:cNvPicPr>
                      <a:picLocks noChangeAspect="1"/>
                    </pic:cNvPicPr>
                  </pic:nvPicPr>
                  <pic:blipFill>
                    <a:blip r:embed="rId30"/>
                    <a:stretch>
                      <a:fillRect/>
                    </a:stretch>
                  </pic:blipFill>
                  <pic:spPr>
                    <a:xfrm>
                      <a:off x="0" y="0"/>
                      <a:ext cx="5269865" cy="7493000"/>
                    </a:xfrm>
                    <a:prstGeom prst="rect">
                      <a:avLst/>
                    </a:prstGeom>
                  </pic:spPr>
                </pic:pic>
              </a:graphicData>
            </a:graphic>
          </wp:inline>
        </w:drawing>
      </w:r>
      <w:r>
        <w:rPr>
          <w:rFonts w:hint="eastAsia"/>
        </w:rPr>
        <w:drawing>
          <wp:inline distT="0" distB="0" distL="114300" distR="114300">
            <wp:extent cx="5273040" cy="7509510"/>
            <wp:effectExtent l="0" t="0" r="3810" b="15240"/>
            <wp:docPr id="28" name="图片 28" descr="Doc2019022811400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oc201902281140020005"/>
                    <pic:cNvPicPr>
                      <a:picLocks noChangeAspect="1"/>
                    </pic:cNvPicPr>
                  </pic:nvPicPr>
                  <pic:blipFill>
                    <a:blip r:embed="rId31"/>
                    <a:stretch>
                      <a:fillRect/>
                    </a:stretch>
                  </pic:blipFill>
                  <pic:spPr>
                    <a:xfrm>
                      <a:off x="0" y="0"/>
                      <a:ext cx="5273040" cy="7509510"/>
                    </a:xfrm>
                    <a:prstGeom prst="rect">
                      <a:avLst/>
                    </a:prstGeom>
                  </pic:spPr>
                </pic:pic>
              </a:graphicData>
            </a:graphic>
          </wp:inline>
        </w:drawing>
      </w:r>
      <w:r>
        <w:rPr>
          <w:rFonts w:hint="eastAsia"/>
        </w:rPr>
        <w:drawing>
          <wp:inline distT="0" distB="0" distL="114300" distR="114300">
            <wp:extent cx="5269865" cy="7493000"/>
            <wp:effectExtent l="0" t="0" r="6985" b="12700"/>
            <wp:docPr id="29" name="图片 29" descr="Doc201902281140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oc201902281140020006"/>
                    <pic:cNvPicPr>
                      <a:picLocks noChangeAspect="1"/>
                    </pic:cNvPicPr>
                  </pic:nvPicPr>
                  <pic:blipFill>
                    <a:blip r:embed="rId32"/>
                    <a:stretch>
                      <a:fillRect/>
                    </a:stretch>
                  </pic:blipFill>
                  <pic:spPr>
                    <a:xfrm>
                      <a:off x="0" y="0"/>
                      <a:ext cx="5269865" cy="7493000"/>
                    </a:xfrm>
                    <a:prstGeom prst="rect">
                      <a:avLst/>
                    </a:prstGeom>
                  </pic:spPr>
                </pic:pic>
              </a:graphicData>
            </a:graphic>
          </wp:inline>
        </w:drawing>
      </w:r>
      <w:r>
        <w:rPr>
          <w:rFonts w:hint="eastAsia"/>
        </w:rPr>
        <w:drawing>
          <wp:inline distT="0" distB="0" distL="114300" distR="114300">
            <wp:extent cx="5265420" cy="7493000"/>
            <wp:effectExtent l="0" t="0" r="11430" b="12700"/>
            <wp:docPr id="30" name="图片 30" descr="Doc2019022811400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oc201902281140020007"/>
                    <pic:cNvPicPr>
                      <a:picLocks noChangeAspect="1"/>
                    </pic:cNvPicPr>
                  </pic:nvPicPr>
                  <pic:blipFill>
                    <a:blip r:embed="rId33"/>
                    <a:stretch>
                      <a:fillRect/>
                    </a:stretch>
                  </pic:blipFill>
                  <pic:spPr>
                    <a:xfrm>
                      <a:off x="0" y="0"/>
                      <a:ext cx="5265420" cy="7493000"/>
                    </a:xfrm>
                    <a:prstGeom prst="rect">
                      <a:avLst/>
                    </a:prstGeom>
                  </pic:spPr>
                </pic:pic>
              </a:graphicData>
            </a:graphic>
          </wp:inline>
        </w:drawing>
      </w:r>
      <w:r>
        <w:rPr>
          <w:rFonts w:hint="eastAsia"/>
        </w:rPr>
        <w:drawing>
          <wp:inline distT="0" distB="0" distL="114300" distR="114300">
            <wp:extent cx="5269865" cy="7493000"/>
            <wp:effectExtent l="0" t="0" r="6985" b="12700"/>
            <wp:docPr id="31" name="图片 31" descr="Doc2019022811400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oc201902281140020008"/>
                    <pic:cNvPicPr>
                      <a:picLocks noChangeAspect="1"/>
                    </pic:cNvPicPr>
                  </pic:nvPicPr>
                  <pic:blipFill>
                    <a:blip r:embed="rId34"/>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auto"/>
        <w:jc w:val="center"/>
        <w:outlineLvl w:val="0"/>
      </w:pPr>
      <w:r>
        <w:rPr>
          <w:rFonts w:hint="eastAsia"/>
        </w:rPr>
        <w:drawing>
          <wp:inline distT="0" distB="0" distL="114300" distR="114300">
            <wp:extent cx="7493000" cy="5269865"/>
            <wp:effectExtent l="0" t="0" r="12700" b="6985"/>
            <wp:docPr id="32" name="图片 32" descr="Doc2019022811400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oc201902281140020009"/>
                    <pic:cNvPicPr>
                      <a:picLocks noChangeAspect="1"/>
                    </pic:cNvPicPr>
                  </pic:nvPicPr>
                  <pic:blipFill>
                    <a:blip r:embed="rId35"/>
                    <a:stretch>
                      <a:fillRect/>
                    </a:stretch>
                  </pic:blipFill>
                  <pic:spPr>
                    <a:xfrm>
                      <a:off x="0" y="0"/>
                      <a:ext cx="7493000" cy="5269865"/>
                    </a:xfrm>
                    <a:prstGeom prst="rect">
                      <a:avLst/>
                    </a:prstGeom>
                  </pic:spPr>
                </pic:pic>
              </a:graphicData>
            </a:graphic>
          </wp:inline>
        </w:drawing>
      </w:r>
    </w:p>
    <w:p>
      <w:pPr>
        <w:pStyle w:val="27"/>
        <w:spacing w:before="0" w:beforeAutospacing="0" w:after="0" w:afterAutospacing="0" w:line="360" w:lineRule="auto"/>
        <w:jc w:val="center"/>
        <w:outlineLvl w:val="0"/>
        <w:sectPr>
          <w:pgSz w:w="16838" w:h="11906" w:orient="landscape"/>
          <w:pgMar w:top="1800" w:right="1440" w:bottom="1800" w:left="1440" w:header="708" w:footer="708" w:gutter="0"/>
          <w:cols w:space="720" w:num="1"/>
          <w:docGrid w:linePitch="360" w:charSpace="0"/>
        </w:sectPr>
      </w:pPr>
    </w:p>
    <w:p>
      <w:pPr>
        <w:pStyle w:val="27"/>
        <w:spacing w:before="0" w:beforeAutospacing="0" w:after="0" w:afterAutospacing="0" w:line="360" w:lineRule="auto"/>
        <w:jc w:val="center"/>
        <w:outlineLvl w:val="0"/>
        <w:sectPr>
          <w:pgSz w:w="11906" w:h="16838"/>
          <w:pgMar w:top="1440" w:right="1800" w:bottom="1440" w:left="1800" w:header="708" w:footer="708" w:gutter="0"/>
          <w:cols w:space="720" w:num="1"/>
          <w:docGrid w:linePitch="360" w:charSpace="0"/>
        </w:sectPr>
      </w:pPr>
      <w:r>
        <w:rPr>
          <w:rFonts w:hint="eastAsia"/>
        </w:rPr>
        <w:drawing>
          <wp:inline distT="0" distB="0" distL="114300" distR="114300">
            <wp:extent cx="5269865" cy="7493000"/>
            <wp:effectExtent l="0" t="0" r="6985" b="12700"/>
            <wp:docPr id="33" name="图片 33" descr="Doc2019022811400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oc201902281140020010"/>
                    <pic:cNvPicPr>
                      <a:picLocks noChangeAspect="1"/>
                    </pic:cNvPicPr>
                  </pic:nvPicPr>
                  <pic:blipFill>
                    <a:blip r:embed="rId36"/>
                    <a:stretch>
                      <a:fillRect/>
                    </a:stretch>
                  </pic:blipFill>
                  <pic:spPr>
                    <a:xfrm>
                      <a:off x="0" y="0"/>
                      <a:ext cx="5269865" cy="7493000"/>
                    </a:xfrm>
                    <a:prstGeom prst="rect">
                      <a:avLst/>
                    </a:prstGeom>
                  </pic:spPr>
                </pic:pic>
              </a:graphicData>
            </a:graphic>
          </wp:inline>
        </w:drawing>
      </w:r>
    </w:p>
    <w:p>
      <w:pPr>
        <w:pStyle w:val="27"/>
        <w:spacing w:before="0" w:beforeAutospacing="0" w:after="0" w:afterAutospacing="0" w:line="360" w:lineRule="exact"/>
        <w:jc w:val="both"/>
        <w:outlineLvl w:val="0"/>
        <w:rPr>
          <w:b/>
          <w:color w:val="000000"/>
        </w:rPr>
      </w:pPr>
      <w:r>
        <w:rPr>
          <w:rFonts w:hint="eastAsia"/>
          <w:b/>
          <w:color w:val="000000"/>
        </w:rPr>
        <w:t>附图1</w:t>
      </w:r>
    </w:p>
    <w:p>
      <w:pPr>
        <w:pStyle w:val="27"/>
        <w:spacing w:before="0" w:beforeAutospacing="0" w:after="0" w:afterAutospacing="0"/>
        <w:jc w:val="center"/>
        <w:outlineLvl w:val="0"/>
        <w:rPr>
          <w:bCs/>
          <w:color w:val="000000"/>
          <w:sz w:val="21"/>
          <w:szCs w:val="21"/>
        </w:rPr>
      </w:pPr>
      <w:r>
        <w:drawing>
          <wp:inline distT="0" distB="0" distL="114300" distR="114300">
            <wp:extent cx="8851265" cy="4486275"/>
            <wp:effectExtent l="0" t="0" r="698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7"/>
                    <a:stretch>
                      <a:fillRect/>
                    </a:stretch>
                  </pic:blipFill>
                  <pic:spPr>
                    <a:xfrm>
                      <a:off x="0" y="0"/>
                      <a:ext cx="8851265" cy="4486275"/>
                    </a:xfrm>
                    <a:prstGeom prst="rect">
                      <a:avLst/>
                    </a:prstGeom>
                    <a:noFill/>
                    <a:ln w="9525">
                      <a:noFill/>
                    </a:ln>
                  </pic:spPr>
                </pic:pic>
              </a:graphicData>
            </a:graphic>
          </wp:inline>
        </w:drawing>
      </w:r>
    </w:p>
    <w:p>
      <w:pPr>
        <w:pStyle w:val="27"/>
        <w:spacing w:before="0" w:beforeAutospacing="0" w:after="0" w:afterAutospacing="0" w:line="500" w:lineRule="exact"/>
        <w:jc w:val="center"/>
        <w:outlineLvl w:val="0"/>
        <w:rPr>
          <w:b/>
          <w:bCs/>
          <w:color w:val="000000"/>
          <w:sz w:val="30"/>
          <w:szCs w:val="30"/>
        </w:rPr>
      </w:pPr>
      <w:r>
        <w:rPr>
          <w:rFonts w:hint="eastAsia"/>
          <w:b/>
          <w:sz w:val="30"/>
          <w:szCs w:val="30"/>
        </w:rPr>
        <w:t>项目地理位置图</w:t>
      </w:r>
    </w:p>
    <w:p>
      <w:pPr>
        <w:pStyle w:val="27"/>
        <w:spacing w:before="0" w:beforeAutospacing="0" w:after="0" w:afterAutospacing="0"/>
        <w:jc w:val="both"/>
        <w:outlineLvl w:val="0"/>
        <w:rPr>
          <w:bCs/>
          <w:color w:val="000000"/>
          <w:sz w:val="21"/>
          <w:szCs w:val="21"/>
        </w:rPr>
      </w:pPr>
    </w:p>
    <w:p>
      <w:pPr>
        <w:pStyle w:val="27"/>
        <w:spacing w:before="0" w:beforeAutospacing="0" w:after="0" w:afterAutospacing="0"/>
        <w:jc w:val="both"/>
        <w:outlineLvl w:val="0"/>
        <w:rPr>
          <w:b/>
          <w:bCs/>
          <w:color w:val="000000"/>
        </w:rPr>
      </w:pPr>
      <w:r>
        <w:rPr>
          <w:rFonts w:hint="eastAsia"/>
          <w:b/>
          <w:bCs/>
          <w:color w:val="000000"/>
        </w:rPr>
        <w:t>附图2</w:t>
      </w:r>
    </w:p>
    <w:p>
      <w:pPr>
        <w:pStyle w:val="27"/>
        <w:spacing w:before="0" w:beforeAutospacing="0" w:after="0" w:afterAutospacing="0"/>
        <w:jc w:val="center"/>
        <w:outlineLvl w:val="0"/>
      </w:pPr>
      <w:r>
        <w:drawing>
          <wp:inline distT="0" distB="0" distL="114300" distR="114300">
            <wp:extent cx="8820150" cy="4486275"/>
            <wp:effectExtent l="0" t="0" r="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8"/>
                    <a:stretch>
                      <a:fillRect/>
                    </a:stretch>
                  </pic:blipFill>
                  <pic:spPr>
                    <a:xfrm>
                      <a:off x="0" y="0"/>
                      <a:ext cx="8820150" cy="4486275"/>
                    </a:xfrm>
                    <a:prstGeom prst="rect">
                      <a:avLst/>
                    </a:prstGeom>
                    <a:noFill/>
                    <a:ln w="9525">
                      <a:noFill/>
                    </a:ln>
                  </pic:spPr>
                </pic:pic>
              </a:graphicData>
            </a:graphic>
          </wp:inline>
        </w:drawing>
      </w:r>
    </w:p>
    <w:p>
      <w:pPr>
        <w:pStyle w:val="27"/>
        <w:spacing w:before="0" w:beforeAutospacing="0" w:after="0" w:afterAutospacing="0"/>
        <w:jc w:val="center"/>
        <w:outlineLvl w:val="0"/>
        <w:rPr>
          <w:sz w:val="15"/>
          <w:szCs w:val="15"/>
        </w:rPr>
      </w:pPr>
    </w:p>
    <w:p>
      <w:pPr>
        <w:pStyle w:val="27"/>
        <w:spacing w:before="0" w:beforeAutospacing="0" w:after="0" w:afterAutospacing="0"/>
        <w:jc w:val="center"/>
        <w:outlineLvl w:val="0"/>
        <w:rPr>
          <w:b/>
          <w:color w:val="000000"/>
          <w:sz w:val="30"/>
          <w:szCs w:val="30"/>
        </w:rPr>
        <w:sectPr>
          <w:pgSz w:w="16838" w:h="11906" w:orient="landscape"/>
          <w:pgMar w:top="1800" w:right="1440" w:bottom="1860" w:left="1440" w:header="708" w:footer="708" w:gutter="0"/>
          <w:cols w:space="720" w:num="1"/>
          <w:docGrid w:linePitch="360" w:charSpace="0"/>
        </w:sectPr>
      </w:pPr>
      <w:bookmarkStart w:id="37" w:name="_Toc24931_WPSOffice_Level1"/>
      <w:r>
        <w:rPr>
          <w:rFonts w:hint="eastAsia"/>
          <w:b/>
          <w:bCs/>
          <w:color w:val="000000"/>
          <w:sz w:val="30"/>
          <w:szCs w:val="30"/>
        </w:rPr>
        <w:t>项目外环境关系图</w:t>
      </w:r>
      <w:bookmarkEnd w:id="37"/>
    </w:p>
    <w:p>
      <w:pPr>
        <w:pStyle w:val="27"/>
        <w:adjustRightInd w:val="0"/>
        <w:snapToGrid w:val="0"/>
        <w:spacing w:before="0" w:beforeAutospacing="0" w:after="0" w:afterAutospacing="0"/>
        <w:jc w:val="both"/>
        <w:outlineLvl w:val="0"/>
        <w:rPr>
          <w:b/>
          <w:bCs/>
          <w:color w:val="000000"/>
        </w:rPr>
      </w:pPr>
      <w:r>
        <w:rPr>
          <w:rFonts w:hint="eastAsia"/>
          <w:b/>
          <w:bCs/>
          <w:color w:val="000000"/>
        </w:rPr>
        <w:t>附图3</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4"/>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0" w:hRule="atLeast"/>
        </w:trPr>
        <w:tc>
          <w:tcPr>
            <w:tcW w:w="4344" w:type="dxa"/>
          </w:tcPr>
          <w:p>
            <w:pPr>
              <w:pStyle w:val="27"/>
              <w:widowControl w:val="0"/>
              <w:adjustRightInd w:val="0"/>
              <w:snapToGrid w:val="0"/>
              <w:spacing w:before="120" w:beforeLines="50" w:beforeAutospacing="0" w:after="0" w:afterAutospacing="0"/>
              <w:jc w:val="center"/>
              <w:outlineLvl w:val="0"/>
              <w:rPr>
                <w:color w:val="000000"/>
                <w:sz w:val="21"/>
                <w:szCs w:val="21"/>
              </w:rPr>
            </w:pPr>
            <w:r>
              <w:rPr>
                <w:rFonts w:hint="eastAsia"/>
                <w:color w:val="000000"/>
                <w:sz w:val="21"/>
                <w:szCs w:val="21"/>
              </w:rPr>
              <w:drawing>
                <wp:inline distT="0" distB="0" distL="114300" distR="114300">
                  <wp:extent cx="2617470" cy="4131945"/>
                  <wp:effectExtent l="0" t="0" r="11430" b="1905"/>
                  <wp:docPr id="37" name="图片 37" descr="IMG_20181227_11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181227_114848"/>
                          <pic:cNvPicPr>
                            <a:picLocks noChangeAspect="1"/>
                          </pic:cNvPicPr>
                        </pic:nvPicPr>
                        <pic:blipFill>
                          <a:blip r:embed="rId39"/>
                          <a:stretch>
                            <a:fillRect/>
                          </a:stretch>
                        </pic:blipFill>
                        <pic:spPr>
                          <a:xfrm>
                            <a:off x="0" y="0"/>
                            <a:ext cx="2617470" cy="4131945"/>
                          </a:xfrm>
                          <a:prstGeom prst="rect">
                            <a:avLst/>
                          </a:prstGeom>
                        </pic:spPr>
                      </pic:pic>
                    </a:graphicData>
                  </a:graphic>
                </wp:inline>
              </w:drawing>
            </w:r>
          </w:p>
        </w:tc>
        <w:tc>
          <w:tcPr>
            <w:tcW w:w="4178"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drawing>
                <wp:inline distT="0" distB="0" distL="114300" distR="114300">
                  <wp:extent cx="4203065" cy="2475230"/>
                  <wp:effectExtent l="0" t="0" r="1270" b="6985"/>
                  <wp:docPr id="19" name="图片 19" descr="IMG_20190212_1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90212_102350"/>
                          <pic:cNvPicPr>
                            <a:picLocks noChangeAspect="1"/>
                          </pic:cNvPicPr>
                        </pic:nvPicPr>
                        <pic:blipFill>
                          <a:blip r:embed="rId40"/>
                          <a:stretch>
                            <a:fillRect/>
                          </a:stretch>
                        </pic:blipFill>
                        <pic:spPr>
                          <a:xfrm rot="5400000">
                            <a:off x="0" y="0"/>
                            <a:ext cx="4203065" cy="2475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4344" w:type="dxa"/>
          </w:tcPr>
          <w:p>
            <w:pPr>
              <w:pStyle w:val="27"/>
              <w:widowControl w:val="0"/>
              <w:adjustRightInd w:val="0"/>
              <w:snapToGrid w:val="0"/>
              <w:spacing w:before="48" w:beforeLines="20" w:beforeAutospacing="0" w:after="0" w:afterAutospacing="0"/>
              <w:jc w:val="center"/>
              <w:outlineLvl w:val="0"/>
              <w:rPr>
                <w:color w:val="000000"/>
                <w:sz w:val="21"/>
                <w:szCs w:val="21"/>
              </w:rPr>
            </w:pPr>
            <w:r>
              <w:rPr>
                <w:rFonts w:hint="eastAsia"/>
                <w:color w:val="000000"/>
                <w:sz w:val="21"/>
                <w:szCs w:val="21"/>
              </w:rPr>
              <w:t>化粪池</w:t>
            </w:r>
          </w:p>
        </w:tc>
        <w:tc>
          <w:tcPr>
            <w:tcW w:w="4178" w:type="dxa"/>
          </w:tcPr>
          <w:p>
            <w:pPr>
              <w:pStyle w:val="27"/>
              <w:widowControl w:val="0"/>
              <w:adjustRightInd w:val="0"/>
              <w:snapToGrid w:val="0"/>
              <w:spacing w:before="48" w:beforeLines="20" w:beforeAutospacing="0" w:after="0" w:afterAutospacing="0"/>
              <w:jc w:val="center"/>
              <w:outlineLvl w:val="0"/>
              <w:rPr>
                <w:color w:val="000000"/>
                <w:sz w:val="21"/>
                <w:szCs w:val="21"/>
              </w:rPr>
            </w:pPr>
            <w:r>
              <w:rPr>
                <w:rFonts w:hint="eastAsia"/>
                <w:color w:val="000000"/>
                <w:sz w:val="21"/>
                <w:szCs w:val="21"/>
                <w:lang w:eastAsia="zh-CN"/>
              </w:rPr>
              <w:t>吸气</w:t>
            </w:r>
            <w:r>
              <w:rPr>
                <w:rFonts w:hint="eastAsia"/>
                <w:color w:val="000000"/>
                <w:sz w:val="21"/>
                <w:szCs w:val="21"/>
              </w:rPr>
              <w:t>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2" w:hRule="atLeast"/>
        </w:trPr>
        <w:tc>
          <w:tcPr>
            <w:tcW w:w="4344"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drawing>
                <wp:inline distT="0" distB="0" distL="114300" distR="114300">
                  <wp:extent cx="2704465" cy="3456940"/>
                  <wp:effectExtent l="0" t="0" r="635" b="10160"/>
                  <wp:docPr id="20" name="图片 20" descr="IMG_20190212_1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90212_102725"/>
                          <pic:cNvPicPr>
                            <a:picLocks noChangeAspect="1"/>
                          </pic:cNvPicPr>
                        </pic:nvPicPr>
                        <pic:blipFill>
                          <a:blip r:embed="rId41"/>
                          <a:stretch>
                            <a:fillRect/>
                          </a:stretch>
                        </pic:blipFill>
                        <pic:spPr>
                          <a:xfrm>
                            <a:off x="0" y="0"/>
                            <a:ext cx="2704465" cy="3456940"/>
                          </a:xfrm>
                          <a:prstGeom prst="rect">
                            <a:avLst/>
                          </a:prstGeom>
                        </pic:spPr>
                      </pic:pic>
                    </a:graphicData>
                  </a:graphic>
                </wp:inline>
              </w:drawing>
            </w:r>
          </w:p>
        </w:tc>
        <w:tc>
          <w:tcPr>
            <w:tcW w:w="4178"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drawing>
                <wp:inline distT="0" distB="0" distL="114300" distR="114300">
                  <wp:extent cx="2489200" cy="3428365"/>
                  <wp:effectExtent l="0" t="0" r="6350" b="635"/>
                  <wp:docPr id="21" name="图片 21" descr="IMG_20190212_10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0212_102739"/>
                          <pic:cNvPicPr>
                            <a:picLocks noChangeAspect="1"/>
                          </pic:cNvPicPr>
                        </pic:nvPicPr>
                        <pic:blipFill>
                          <a:blip r:embed="rId42"/>
                          <a:stretch>
                            <a:fillRect/>
                          </a:stretch>
                        </pic:blipFill>
                        <pic:spPr>
                          <a:xfrm>
                            <a:off x="0" y="0"/>
                            <a:ext cx="2489200" cy="3428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4344" w:type="dxa"/>
          </w:tcPr>
          <w:p>
            <w:pPr>
              <w:pStyle w:val="27"/>
              <w:widowControl w:val="0"/>
              <w:adjustRightInd w:val="0"/>
              <w:snapToGrid w:val="0"/>
              <w:spacing w:before="48" w:beforeLines="20" w:beforeAutospacing="0" w:after="0" w:afterAutospacing="0"/>
              <w:jc w:val="center"/>
              <w:outlineLvl w:val="0"/>
              <w:rPr>
                <w:color w:val="000000"/>
                <w:sz w:val="21"/>
                <w:szCs w:val="21"/>
              </w:rPr>
            </w:pPr>
            <w:r>
              <w:rPr>
                <w:rFonts w:hint="eastAsia"/>
                <w:color w:val="000000"/>
                <w:sz w:val="21"/>
                <w:szCs w:val="21"/>
              </w:rPr>
              <w:t>吸风活性炭处理</w:t>
            </w:r>
          </w:p>
        </w:tc>
        <w:tc>
          <w:tcPr>
            <w:tcW w:w="4178" w:type="dxa"/>
          </w:tcPr>
          <w:p>
            <w:pPr>
              <w:pStyle w:val="27"/>
              <w:widowControl w:val="0"/>
              <w:adjustRightInd w:val="0"/>
              <w:snapToGrid w:val="0"/>
              <w:spacing w:before="48" w:beforeLines="20" w:beforeAutospacing="0" w:after="0" w:afterAutospacing="0"/>
              <w:jc w:val="center"/>
              <w:outlineLvl w:val="0"/>
              <w:rPr>
                <w:color w:val="000000"/>
                <w:sz w:val="21"/>
                <w:szCs w:val="21"/>
              </w:rPr>
            </w:pPr>
            <w:r>
              <w:rPr>
                <w:rFonts w:hint="eastAsia"/>
                <w:color w:val="000000"/>
                <w:sz w:val="21"/>
                <w:szCs w:val="21"/>
              </w:rPr>
              <w:t>粉尘处理</w:t>
            </w:r>
          </w:p>
        </w:tc>
      </w:tr>
    </w:tbl>
    <w:p>
      <w:pPr>
        <w:pStyle w:val="2"/>
        <w:jc w:val="center"/>
        <w:rPr>
          <w:b/>
          <w:bCs/>
        </w:rPr>
      </w:pPr>
      <w:r>
        <w:rPr>
          <w:rFonts w:hint="eastAsia"/>
          <w:b/>
          <w:bCs/>
        </w:rPr>
        <w:t>报告结束</w:t>
      </w:r>
    </w:p>
    <w:sectPr>
      <w:footerReference r:id="rId19" w:type="default"/>
      <w:pgSz w:w="11906" w:h="16838"/>
      <w:pgMar w:top="1440" w:right="1800" w:bottom="1440"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5A2A1F"/>
    <w:multiLevelType w:val="singleLevel"/>
    <w:tmpl w:val="8E5A2A1F"/>
    <w:lvl w:ilvl="0" w:tentative="0">
      <w:start w:val="1"/>
      <w:numFmt w:val="chineseCounting"/>
      <w:suff w:val="nothing"/>
      <w:lvlText w:val="%1、"/>
      <w:lvlJc w:val="left"/>
      <w:rPr>
        <w:rFonts w:hint="eastAsia"/>
      </w:rPr>
    </w:lvl>
  </w:abstractNum>
  <w:abstractNum w:abstractNumId="1">
    <w:nsid w:val="C45B4CDE"/>
    <w:multiLevelType w:val="singleLevel"/>
    <w:tmpl w:val="C45B4CDE"/>
    <w:lvl w:ilvl="0" w:tentative="0">
      <w:start w:val="2"/>
      <w:numFmt w:val="decimal"/>
      <w:suff w:val="nothing"/>
      <w:lvlText w:val="%1、"/>
      <w:lvlJc w:val="left"/>
    </w:lvl>
  </w:abstractNum>
  <w:abstractNum w:abstractNumId="2">
    <w:nsid w:val="CB2085D0"/>
    <w:multiLevelType w:val="singleLevel"/>
    <w:tmpl w:val="CB2085D0"/>
    <w:lvl w:ilvl="0" w:tentative="0">
      <w:start w:val="2"/>
      <w:numFmt w:val="chineseCounting"/>
      <w:suff w:val="nothing"/>
      <w:lvlText w:val="%1、"/>
      <w:lvlJc w:val="left"/>
      <w:rPr>
        <w:rFonts w:hint="eastAsia"/>
      </w:rPr>
    </w:lvl>
  </w:abstractNum>
  <w:abstractNum w:abstractNumId="3">
    <w:nsid w:val="DCD103C1"/>
    <w:multiLevelType w:val="singleLevel"/>
    <w:tmpl w:val="DCD103C1"/>
    <w:lvl w:ilvl="0" w:tentative="0">
      <w:start w:val="1"/>
      <w:numFmt w:val="decimal"/>
      <w:suff w:val="nothing"/>
      <w:lvlText w:val="（%1）"/>
      <w:lvlJc w:val="left"/>
    </w:lvl>
  </w:abstractNum>
  <w:abstractNum w:abstractNumId="4">
    <w:nsid w:val="EEC07E53"/>
    <w:multiLevelType w:val="singleLevel"/>
    <w:tmpl w:val="EEC07E53"/>
    <w:lvl w:ilvl="0" w:tentative="0">
      <w:start w:val="4"/>
      <w:numFmt w:val="chineseCounting"/>
      <w:suff w:val="nothing"/>
      <w:lvlText w:val="（%1）"/>
      <w:lvlJc w:val="left"/>
      <w:rPr>
        <w:rFonts w:hint="eastAsia"/>
      </w:rPr>
    </w:lvl>
  </w:abstractNum>
  <w:abstractNum w:abstractNumId="5">
    <w:nsid w:val="F03A5788"/>
    <w:multiLevelType w:val="singleLevel"/>
    <w:tmpl w:val="F03A5788"/>
    <w:lvl w:ilvl="0" w:tentative="0">
      <w:start w:val="1"/>
      <w:numFmt w:val="decimal"/>
      <w:suff w:val="nothing"/>
      <w:lvlText w:val="（%1）"/>
      <w:lvlJc w:val="left"/>
    </w:lvl>
  </w:abstractNum>
  <w:abstractNum w:abstractNumId="6">
    <w:nsid w:val="09E84E54"/>
    <w:multiLevelType w:val="singleLevel"/>
    <w:tmpl w:val="09E84E54"/>
    <w:lvl w:ilvl="0" w:tentative="0">
      <w:start w:val="1"/>
      <w:numFmt w:val="decimal"/>
      <w:suff w:val="nothing"/>
      <w:lvlText w:val="%1、"/>
      <w:lvlJc w:val="left"/>
    </w:lvl>
  </w:abstractNum>
  <w:abstractNum w:abstractNumId="7">
    <w:nsid w:val="0A862F98"/>
    <w:multiLevelType w:val="singleLevel"/>
    <w:tmpl w:val="0A862F98"/>
    <w:lvl w:ilvl="0" w:tentative="0">
      <w:start w:val="1"/>
      <w:numFmt w:val="decimal"/>
      <w:suff w:val="nothing"/>
      <w:lvlText w:val="（%1）"/>
      <w:lvlJc w:val="left"/>
    </w:lvl>
  </w:abstractNum>
  <w:abstractNum w:abstractNumId="8">
    <w:nsid w:val="273631AE"/>
    <w:multiLevelType w:val="singleLevel"/>
    <w:tmpl w:val="273631AE"/>
    <w:lvl w:ilvl="0" w:tentative="0">
      <w:start w:val="2"/>
      <w:numFmt w:val="decimal"/>
      <w:suff w:val="nothing"/>
      <w:lvlText w:val="%1、"/>
      <w:lvlJc w:val="left"/>
    </w:lvl>
  </w:abstractNum>
  <w:abstractNum w:abstractNumId="9">
    <w:nsid w:val="64A1F8C6"/>
    <w:multiLevelType w:val="singleLevel"/>
    <w:tmpl w:val="64A1F8C6"/>
    <w:lvl w:ilvl="0" w:tentative="0">
      <w:start w:val="1"/>
      <w:numFmt w:val="decimal"/>
      <w:suff w:val="nothing"/>
      <w:lvlText w:val="%1、"/>
      <w:lvlJc w:val="left"/>
    </w:lvl>
  </w:abstractNum>
  <w:num w:numId="1">
    <w:abstractNumId w:val="1"/>
  </w:num>
  <w:num w:numId="2">
    <w:abstractNumId w:val="5"/>
  </w:num>
  <w:num w:numId="3">
    <w:abstractNumId w:val="9"/>
  </w:num>
  <w:num w:numId="4">
    <w:abstractNumId w:val="2"/>
  </w:num>
  <w:num w:numId="5">
    <w:abstractNumId w:val="7"/>
  </w:num>
  <w:num w:numId="6">
    <w:abstractNumId w:val="3"/>
  </w:num>
  <w:num w:numId="7">
    <w:abstractNumId w:val="4"/>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oNotShadeFormData w:val="1"/>
  <w:noPunctuationKerning w:val="1"/>
  <w:characterSpacingControl w:val="doNotCompress"/>
  <w:doNotValidateAgainstSchema/>
  <w:doNotDemarcateInvalidXml/>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08A"/>
    <w:rsid w:val="00076C96"/>
    <w:rsid w:val="000F3AC3"/>
    <w:rsid w:val="000F7BAD"/>
    <w:rsid w:val="00113352"/>
    <w:rsid w:val="00121A1D"/>
    <w:rsid w:val="00141117"/>
    <w:rsid w:val="00172A27"/>
    <w:rsid w:val="0019627B"/>
    <w:rsid w:val="0019731A"/>
    <w:rsid w:val="001A3A08"/>
    <w:rsid w:val="001E33FE"/>
    <w:rsid w:val="001F11FA"/>
    <w:rsid w:val="00284E14"/>
    <w:rsid w:val="002B6833"/>
    <w:rsid w:val="00326503"/>
    <w:rsid w:val="003B0DA2"/>
    <w:rsid w:val="00495827"/>
    <w:rsid w:val="004A007D"/>
    <w:rsid w:val="004B0D9A"/>
    <w:rsid w:val="004B162A"/>
    <w:rsid w:val="004C0816"/>
    <w:rsid w:val="004D0E8F"/>
    <w:rsid w:val="004F12E8"/>
    <w:rsid w:val="00522646"/>
    <w:rsid w:val="005360D1"/>
    <w:rsid w:val="005648E8"/>
    <w:rsid w:val="00586C82"/>
    <w:rsid w:val="005A52CC"/>
    <w:rsid w:val="005A7013"/>
    <w:rsid w:val="005C754C"/>
    <w:rsid w:val="005F7E2A"/>
    <w:rsid w:val="006025EC"/>
    <w:rsid w:val="006057D3"/>
    <w:rsid w:val="00613ACE"/>
    <w:rsid w:val="006B3E91"/>
    <w:rsid w:val="006B4AF8"/>
    <w:rsid w:val="006E658F"/>
    <w:rsid w:val="006F77DD"/>
    <w:rsid w:val="007052AF"/>
    <w:rsid w:val="00753962"/>
    <w:rsid w:val="007E0336"/>
    <w:rsid w:val="007E15B2"/>
    <w:rsid w:val="007F2BE0"/>
    <w:rsid w:val="008260C8"/>
    <w:rsid w:val="00842845"/>
    <w:rsid w:val="00843486"/>
    <w:rsid w:val="008669B3"/>
    <w:rsid w:val="00911DC8"/>
    <w:rsid w:val="0093535D"/>
    <w:rsid w:val="00947B76"/>
    <w:rsid w:val="009962F6"/>
    <w:rsid w:val="009B2214"/>
    <w:rsid w:val="009F6CE7"/>
    <w:rsid w:val="00A16E0D"/>
    <w:rsid w:val="00A27C88"/>
    <w:rsid w:val="00A8013C"/>
    <w:rsid w:val="00AE3958"/>
    <w:rsid w:val="00B02833"/>
    <w:rsid w:val="00B24E81"/>
    <w:rsid w:val="00B838CA"/>
    <w:rsid w:val="00C32102"/>
    <w:rsid w:val="00C77D13"/>
    <w:rsid w:val="00CA3C54"/>
    <w:rsid w:val="00CB26D4"/>
    <w:rsid w:val="00CD5224"/>
    <w:rsid w:val="00CE2FDC"/>
    <w:rsid w:val="00D531CA"/>
    <w:rsid w:val="00DF0748"/>
    <w:rsid w:val="00E01E57"/>
    <w:rsid w:val="00F6149B"/>
    <w:rsid w:val="00F65EA6"/>
    <w:rsid w:val="00F670F4"/>
    <w:rsid w:val="00FA0ADB"/>
    <w:rsid w:val="00FB300F"/>
    <w:rsid w:val="00FC4025"/>
    <w:rsid w:val="00FC7AB6"/>
    <w:rsid w:val="016545E6"/>
    <w:rsid w:val="01916E58"/>
    <w:rsid w:val="01C85DE0"/>
    <w:rsid w:val="01DF534E"/>
    <w:rsid w:val="020D5A2F"/>
    <w:rsid w:val="021B0159"/>
    <w:rsid w:val="026F653B"/>
    <w:rsid w:val="02820BA0"/>
    <w:rsid w:val="02BF5F95"/>
    <w:rsid w:val="030236D1"/>
    <w:rsid w:val="0336034D"/>
    <w:rsid w:val="03C07E4D"/>
    <w:rsid w:val="03FC0C4D"/>
    <w:rsid w:val="03FE6F30"/>
    <w:rsid w:val="045C671A"/>
    <w:rsid w:val="045D7DCC"/>
    <w:rsid w:val="046021B4"/>
    <w:rsid w:val="04F102CB"/>
    <w:rsid w:val="04F66814"/>
    <w:rsid w:val="04FC75C5"/>
    <w:rsid w:val="051F5625"/>
    <w:rsid w:val="055C73C6"/>
    <w:rsid w:val="059A2231"/>
    <w:rsid w:val="05D10132"/>
    <w:rsid w:val="06587419"/>
    <w:rsid w:val="06C74FC9"/>
    <w:rsid w:val="06E13E43"/>
    <w:rsid w:val="07CF473D"/>
    <w:rsid w:val="0809793C"/>
    <w:rsid w:val="08394E12"/>
    <w:rsid w:val="084D438B"/>
    <w:rsid w:val="085E4F46"/>
    <w:rsid w:val="08AC6705"/>
    <w:rsid w:val="08BD37F2"/>
    <w:rsid w:val="08D51DD1"/>
    <w:rsid w:val="08F867C5"/>
    <w:rsid w:val="094C7232"/>
    <w:rsid w:val="09747CE2"/>
    <w:rsid w:val="0975128E"/>
    <w:rsid w:val="09D2548C"/>
    <w:rsid w:val="0A1C43E3"/>
    <w:rsid w:val="0A5839CD"/>
    <w:rsid w:val="0A6269AD"/>
    <w:rsid w:val="0AFC5735"/>
    <w:rsid w:val="0B8F0462"/>
    <w:rsid w:val="0BB11F56"/>
    <w:rsid w:val="0BDC7E75"/>
    <w:rsid w:val="0BF06C29"/>
    <w:rsid w:val="0C87697C"/>
    <w:rsid w:val="0CC65038"/>
    <w:rsid w:val="0CE50ED3"/>
    <w:rsid w:val="0CEE0B38"/>
    <w:rsid w:val="0CEF74AA"/>
    <w:rsid w:val="0D084293"/>
    <w:rsid w:val="0D5E1A79"/>
    <w:rsid w:val="0D64492A"/>
    <w:rsid w:val="0D786707"/>
    <w:rsid w:val="0D8655CD"/>
    <w:rsid w:val="0DBC2285"/>
    <w:rsid w:val="0DE11EE7"/>
    <w:rsid w:val="0DFC55A4"/>
    <w:rsid w:val="0E5A7803"/>
    <w:rsid w:val="0E5F0B06"/>
    <w:rsid w:val="0E5F4A91"/>
    <w:rsid w:val="0E9E0FE1"/>
    <w:rsid w:val="0F5D55DD"/>
    <w:rsid w:val="0F9C1968"/>
    <w:rsid w:val="10092D2D"/>
    <w:rsid w:val="101A7CB1"/>
    <w:rsid w:val="105E3B01"/>
    <w:rsid w:val="113367FC"/>
    <w:rsid w:val="11CE750F"/>
    <w:rsid w:val="11E3280E"/>
    <w:rsid w:val="120F2E59"/>
    <w:rsid w:val="12A44B4C"/>
    <w:rsid w:val="13015272"/>
    <w:rsid w:val="13593E77"/>
    <w:rsid w:val="13C255E0"/>
    <w:rsid w:val="13D33407"/>
    <w:rsid w:val="148058D3"/>
    <w:rsid w:val="1533224B"/>
    <w:rsid w:val="15444466"/>
    <w:rsid w:val="159C4E11"/>
    <w:rsid w:val="15E06602"/>
    <w:rsid w:val="15F838A5"/>
    <w:rsid w:val="1686300C"/>
    <w:rsid w:val="16B3462E"/>
    <w:rsid w:val="16D64ABD"/>
    <w:rsid w:val="17EB503D"/>
    <w:rsid w:val="18407C76"/>
    <w:rsid w:val="18907F9E"/>
    <w:rsid w:val="18B2031E"/>
    <w:rsid w:val="18EC7ED4"/>
    <w:rsid w:val="18F347A6"/>
    <w:rsid w:val="19174032"/>
    <w:rsid w:val="19786F9E"/>
    <w:rsid w:val="19FE0499"/>
    <w:rsid w:val="1A8844C3"/>
    <w:rsid w:val="1AC54D51"/>
    <w:rsid w:val="1B174E89"/>
    <w:rsid w:val="1B181B15"/>
    <w:rsid w:val="1B6B765C"/>
    <w:rsid w:val="1BF250C0"/>
    <w:rsid w:val="1BF27DBE"/>
    <w:rsid w:val="1C5F6DDC"/>
    <w:rsid w:val="1C8C281D"/>
    <w:rsid w:val="1C970B1D"/>
    <w:rsid w:val="1CCC5782"/>
    <w:rsid w:val="1D1B4B69"/>
    <w:rsid w:val="1DE954E0"/>
    <w:rsid w:val="1E2A22AC"/>
    <w:rsid w:val="1E646538"/>
    <w:rsid w:val="1E8C0414"/>
    <w:rsid w:val="1E8F23AD"/>
    <w:rsid w:val="1E941315"/>
    <w:rsid w:val="1EA611AB"/>
    <w:rsid w:val="1ECA6C4C"/>
    <w:rsid w:val="1EE6660D"/>
    <w:rsid w:val="1F296D54"/>
    <w:rsid w:val="1FB03C4B"/>
    <w:rsid w:val="202B17F1"/>
    <w:rsid w:val="203A68BF"/>
    <w:rsid w:val="204B5363"/>
    <w:rsid w:val="205C6DAB"/>
    <w:rsid w:val="20B54452"/>
    <w:rsid w:val="20D941C6"/>
    <w:rsid w:val="217869BC"/>
    <w:rsid w:val="21E54868"/>
    <w:rsid w:val="2262595E"/>
    <w:rsid w:val="22EA32D3"/>
    <w:rsid w:val="23071105"/>
    <w:rsid w:val="23117C87"/>
    <w:rsid w:val="233D66EB"/>
    <w:rsid w:val="23596355"/>
    <w:rsid w:val="23B57925"/>
    <w:rsid w:val="23FD33B8"/>
    <w:rsid w:val="23FD642B"/>
    <w:rsid w:val="246549EA"/>
    <w:rsid w:val="24B54D5B"/>
    <w:rsid w:val="24F558B1"/>
    <w:rsid w:val="26144F12"/>
    <w:rsid w:val="26173817"/>
    <w:rsid w:val="26174F5B"/>
    <w:rsid w:val="261D1D03"/>
    <w:rsid w:val="26BE2ECB"/>
    <w:rsid w:val="27200A76"/>
    <w:rsid w:val="278F323A"/>
    <w:rsid w:val="27933EBE"/>
    <w:rsid w:val="27DE66F9"/>
    <w:rsid w:val="283C4D84"/>
    <w:rsid w:val="28494AC9"/>
    <w:rsid w:val="28C92591"/>
    <w:rsid w:val="28D95D75"/>
    <w:rsid w:val="28EF3461"/>
    <w:rsid w:val="29257C23"/>
    <w:rsid w:val="299A19EF"/>
    <w:rsid w:val="29CB08E4"/>
    <w:rsid w:val="2A232C0D"/>
    <w:rsid w:val="2ABD6FB6"/>
    <w:rsid w:val="2B1D10B2"/>
    <w:rsid w:val="2B260D00"/>
    <w:rsid w:val="2B477307"/>
    <w:rsid w:val="2B653E44"/>
    <w:rsid w:val="2B7D5C21"/>
    <w:rsid w:val="2B8966DE"/>
    <w:rsid w:val="2BD24409"/>
    <w:rsid w:val="2C2A5B52"/>
    <w:rsid w:val="2D6E43B4"/>
    <w:rsid w:val="2D846EFA"/>
    <w:rsid w:val="2DC13E81"/>
    <w:rsid w:val="2DDD7F92"/>
    <w:rsid w:val="2E030627"/>
    <w:rsid w:val="2E302FA0"/>
    <w:rsid w:val="2EF9797E"/>
    <w:rsid w:val="2F0013A5"/>
    <w:rsid w:val="2F8233AA"/>
    <w:rsid w:val="2F8656DB"/>
    <w:rsid w:val="2FA779F8"/>
    <w:rsid w:val="2FBC2D34"/>
    <w:rsid w:val="2FD5752E"/>
    <w:rsid w:val="2FD956F1"/>
    <w:rsid w:val="2FFD765F"/>
    <w:rsid w:val="301123F3"/>
    <w:rsid w:val="30625EAC"/>
    <w:rsid w:val="30640AF2"/>
    <w:rsid w:val="3085388D"/>
    <w:rsid w:val="30B46FBE"/>
    <w:rsid w:val="31447CD4"/>
    <w:rsid w:val="318E3F31"/>
    <w:rsid w:val="319E745B"/>
    <w:rsid w:val="31B14C01"/>
    <w:rsid w:val="31DD7C5F"/>
    <w:rsid w:val="321F5FEA"/>
    <w:rsid w:val="327F6B13"/>
    <w:rsid w:val="32AF42B7"/>
    <w:rsid w:val="32B3447F"/>
    <w:rsid w:val="32C277F2"/>
    <w:rsid w:val="32FA486B"/>
    <w:rsid w:val="333D6353"/>
    <w:rsid w:val="335013EC"/>
    <w:rsid w:val="338829E6"/>
    <w:rsid w:val="338C724A"/>
    <w:rsid w:val="341967CB"/>
    <w:rsid w:val="3476273E"/>
    <w:rsid w:val="349F43E0"/>
    <w:rsid w:val="34AB4A43"/>
    <w:rsid w:val="354666AB"/>
    <w:rsid w:val="354E378E"/>
    <w:rsid w:val="35E8529A"/>
    <w:rsid w:val="361675A0"/>
    <w:rsid w:val="361C6DF9"/>
    <w:rsid w:val="36462510"/>
    <w:rsid w:val="366077F3"/>
    <w:rsid w:val="36785659"/>
    <w:rsid w:val="36881C86"/>
    <w:rsid w:val="368E18FC"/>
    <w:rsid w:val="36BD4CF8"/>
    <w:rsid w:val="36D73E4F"/>
    <w:rsid w:val="36F12529"/>
    <w:rsid w:val="37A94E44"/>
    <w:rsid w:val="37D0785A"/>
    <w:rsid w:val="37E67429"/>
    <w:rsid w:val="37E915C9"/>
    <w:rsid w:val="38066DBF"/>
    <w:rsid w:val="384B5DC5"/>
    <w:rsid w:val="385E5566"/>
    <w:rsid w:val="38962B82"/>
    <w:rsid w:val="38C144A0"/>
    <w:rsid w:val="38CA28FA"/>
    <w:rsid w:val="38DF0CCF"/>
    <w:rsid w:val="38E71C9A"/>
    <w:rsid w:val="38ED2C2D"/>
    <w:rsid w:val="391967AF"/>
    <w:rsid w:val="39495B55"/>
    <w:rsid w:val="3954109F"/>
    <w:rsid w:val="396D30EA"/>
    <w:rsid w:val="3990055B"/>
    <w:rsid w:val="3A064DAF"/>
    <w:rsid w:val="3A180170"/>
    <w:rsid w:val="3A566030"/>
    <w:rsid w:val="3A6A5B69"/>
    <w:rsid w:val="3A6D20D3"/>
    <w:rsid w:val="3AA36A18"/>
    <w:rsid w:val="3ACC475D"/>
    <w:rsid w:val="3AFB2D3D"/>
    <w:rsid w:val="3B075AB6"/>
    <w:rsid w:val="3B232C23"/>
    <w:rsid w:val="3B441E6A"/>
    <w:rsid w:val="3BC85848"/>
    <w:rsid w:val="3BD46E11"/>
    <w:rsid w:val="3BEE112B"/>
    <w:rsid w:val="3BF5793F"/>
    <w:rsid w:val="3C157195"/>
    <w:rsid w:val="3C473514"/>
    <w:rsid w:val="3C4C5350"/>
    <w:rsid w:val="3C5949EC"/>
    <w:rsid w:val="3C9B4CC0"/>
    <w:rsid w:val="3CF53E09"/>
    <w:rsid w:val="3D2E6624"/>
    <w:rsid w:val="3D410704"/>
    <w:rsid w:val="3E795379"/>
    <w:rsid w:val="3EC40B92"/>
    <w:rsid w:val="3FD85C39"/>
    <w:rsid w:val="402206A7"/>
    <w:rsid w:val="40246907"/>
    <w:rsid w:val="403842D6"/>
    <w:rsid w:val="407548B9"/>
    <w:rsid w:val="40BC4689"/>
    <w:rsid w:val="41256125"/>
    <w:rsid w:val="41507997"/>
    <w:rsid w:val="419859F5"/>
    <w:rsid w:val="41E24EE0"/>
    <w:rsid w:val="42405558"/>
    <w:rsid w:val="42A2769E"/>
    <w:rsid w:val="42BB761C"/>
    <w:rsid w:val="42C80083"/>
    <w:rsid w:val="42DB4B40"/>
    <w:rsid w:val="435049EC"/>
    <w:rsid w:val="43FD24A5"/>
    <w:rsid w:val="443C265B"/>
    <w:rsid w:val="44682057"/>
    <w:rsid w:val="44736E4E"/>
    <w:rsid w:val="44A356F3"/>
    <w:rsid w:val="45007DF2"/>
    <w:rsid w:val="450F61BE"/>
    <w:rsid w:val="45326B61"/>
    <w:rsid w:val="45796640"/>
    <w:rsid w:val="45880666"/>
    <w:rsid w:val="46665A70"/>
    <w:rsid w:val="46DA7A5A"/>
    <w:rsid w:val="47840F46"/>
    <w:rsid w:val="48133E75"/>
    <w:rsid w:val="4852026E"/>
    <w:rsid w:val="491847E1"/>
    <w:rsid w:val="498C2265"/>
    <w:rsid w:val="499F5DCB"/>
    <w:rsid w:val="49C37FB6"/>
    <w:rsid w:val="4AAD56BB"/>
    <w:rsid w:val="4AE01D9F"/>
    <w:rsid w:val="4B6624E0"/>
    <w:rsid w:val="4B923950"/>
    <w:rsid w:val="4BF356EF"/>
    <w:rsid w:val="4C2202F7"/>
    <w:rsid w:val="4C243AB3"/>
    <w:rsid w:val="4C327E32"/>
    <w:rsid w:val="4C3C1D83"/>
    <w:rsid w:val="4C3D3D16"/>
    <w:rsid w:val="4C5749F6"/>
    <w:rsid w:val="4CDA7DB0"/>
    <w:rsid w:val="4D03127F"/>
    <w:rsid w:val="4D4972C6"/>
    <w:rsid w:val="4D531D08"/>
    <w:rsid w:val="4D9557B0"/>
    <w:rsid w:val="4DE3340E"/>
    <w:rsid w:val="4E366E41"/>
    <w:rsid w:val="4E606504"/>
    <w:rsid w:val="4EBF0E60"/>
    <w:rsid w:val="4F56406E"/>
    <w:rsid w:val="4FEF4811"/>
    <w:rsid w:val="505F1424"/>
    <w:rsid w:val="50711684"/>
    <w:rsid w:val="50883995"/>
    <w:rsid w:val="51190EA2"/>
    <w:rsid w:val="514A43E8"/>
    <w:rsid w:val="51C61CF2"/>
    <w:rsid w:val="52161612"/>
    <w:rsid w:val="52745E39"/>
    <w:rsid w:val="52801B53"/>
    <w:rsid w:val="52F23B4F"/>
    <w:rsid w:val="53196C0D"/>
    <w:rsid w:val="53290E03"/>
    <w:rsid w:val="53DD41B5"/>
    <w:rsid w:val="545718DA"/>
    <w:rsid w:val="54581983"/>
    <w:rsid w:val="545A1377"/>
    <w:rsid w:val="550D680F"/>
    <w:rsid w:val="551D64E4"/>
    <w:rsid w:val="552E0CBD"/>
    <w:rsid w:val="55893CCC"/>
    <w:rsid w:val="55B7121A"/>
    <w:rsid w:val="564E40A0"/>
    <w:rsid w:val="56525B39"/>
    <w:rsid w:val="56664C2F"/>
    <w:rsid w:val="56891F3D"/>
    <w:rsid w:val="568F68F9"/>
    <w:rsid w:val="56AB40B3"/>
    <w:rsid w:val="578E27F0"/>
    <w:rsid w:val="57C8093F"/>
    <w:rsid w:val="57CA37A3"/>
    <w:rsid w:val="57EA6C55"/>
    <w:rsid w:val="580A5AA5"/>
    <w:rsid w:val="584F4ECE"/>
    <w:rsid w:val="58593F55"/>
    <w:rsid w:val="587479E0"/>
    <w:rsid w:val="58A954C9"/>
    <w:rsid w:val="58B355CA"/>
    <w:rsid w:val="58EF5C98"/>
    <w:rsid w:val="5915103F"/>
    <w:rsid w:val="5969466A"/>
    <w:rsid w:val="59756C36"/>
    <w:rsid w:val="59A13AA7"/>
    <w:rsid w:val="59EC7F52"/>
    <w:rsid w:val="5A755F66"/>
    <w:rsid w:val="5AB10E6B"/>
    <w:rsid w:val="5B8A374C"/>
    <w:rsid w:val="5CA211A8"/>
    <w:rsid w:val="5CF41FAC"/>
    <w:rsid w:val="5D0E7D1E"/>
    <w:rsid w:val="5D3F4C40"/>
    <w:rsid w:val="5D466F70"/>
    <w:rsid w:val="5D493C55"/>
    <w:rsid w:val="5D640F1A"/>
    <w:rsid w:val="5D886E41"/>
    <w:rsid w:val="5DB30919"/>
    <w:rsid w:val="5E447774"/>
    <w:rsid w:val="5EC91E2D"/>
    <w:rsid w:val="5F1A405B"/>
    <w:rsid w:val="5F376B17"/>
    <w:rsid w:val="5F7B44DC"/>
    <w:rsid w:val="5F840565"/>
    <w:rsid w:val="6017670D"/>
    <w:rsid w:val="60442774"/>
    <w:rsid w:val="606B2BDB"/>
    <w:rsid w:val="613104BC"/>
    <w:rsid w:val="61981C74"/>
    <w:rsid w:val="62181BD6"/>
    <w:rsid w:val="62541F20"/>
    <w:rsid w:val="630E558E"/>
    <w:rsid w:val="630F08AE"/>
    <w:rsid w:val="631A0A07"/>
    <w:rsid w:val="638770F3"/>
    <w:rsid w:val="63A72746"/>
    <w:rsid w:val="63B53C5E"/>
    <w:rsid w:val="6406479E"/>
    <w:rsid w:val="64340FEE"/>
    <w:rsid w:val="64894C96"/>
    <w:rsid w:val="649E1D10"/>
    <w:rsid w:val="6501121A"/>
    <w:rsid w:val="65353C91"/>
    <w:rsid w:val="65B67C79"/>
    <w:rsid w:val="65BB3BED"/>
    <w:rsid w:val="65DC7806"/>
    <w:rsid w:val="65FE3DE4"/>
    <w:rsid w:val="6622105B"/>
    <w:rsid w:val="663223ED"/>
    <w:rsid w:val="66883815"/>
    <w:rsid w:val="67031E51"/>
    <w:rsid w:val="678938EA"/>
    <w:rsid w:val="67A32ABD"/>
    <w:rsid w:val="68515F57"/>
    <w:rsid w:val="689D12CE"/>
    <w:rsid w:val="689F2D57"/>
    <w:rsid w:val="68E97BB2"/>
    <w:rsid w:val="6936298A"/>
    <w:rsid w:val="693F7EF2"/>
    <w:rsid w:val="6952679B"/>
    <w:rsid w:val="697A2F04"/>
    <w:rsid w:val="698801FB"/>
    <w:rsid w:val="69895813"/>
    <w:rsid w:val="6A685726"/>
    <w:rsid w:val="6AA25623"/>
    <w:rsid w:val="6AF11CAC"/>
    <w:rsid w:val="6B180326"/>
    <w:rsid w:val="6B2E6B80"/>
    <w:rsid w:val="6B9D793E"/>
    <w:rsid w:val="6BD91476"/>
    <w:rsid w:val="6BE66A3C"/>
    <w:rsid w:val="6BFF21DE"/>
    <w:rsid w:val="6C184445"/>
    <w:rsid w:val="6C8F7402"/>
    <w:rsid w:val="6CB159E3"/>
    <w:rsid w:val="6CDE20C0"/>
    <w:rsid w:val="6CFB365C"/>
    <w:rsid w:val="6DA24887"/>
    <w:rsid w:val="6ED71F16"/>
    <w:rsid w:val="6F0D2611"/>
    <w:rsid w:val="6F244A2E"/>
    <w:rsid w:val="6F6A42A5"/>
    <w:rsid w:val="6F891600"/>
    <w:rsid w:val="6FA96496"/>
    <w:rsid w:val="6FAE3BB0"/>
    <w:rsid w:val="701342BE"/>
    <w:rsid w:val="70252240"/>
    <w:rsid w:val="70F41D70"/>
    <w:rsid w:val="71134B99"/>
    <w:rsid w:val="71772462"/>
    <w:rsid w:val="71CE576B"/>
    <w:rsid w:val="71F2121C"/>
    <w:rsid w:val="71F80FEE"/>
    <w:rsid w:val="72B977D7"/>
    <w:rsid w:val="72BD0C96"/>
    <w:rsid w:val="72E145F1"/>
    <w:rsid w:val="72EE39EF"/>
    <w:rsid w:val="730D5A1B"/>
    <w:rsid w:val="73395256"/>
    <w:rsid w:val="73875ECA"/>
    <w:rsid w:val="73956D1D"/>
    <w:rsid w:val="73B537DC"/>
    <w:rsid w:val="73D61A06"/>
    <w:rsid w:val="745371DE"/>
    <w:rsid w:val="747247FD"/>
    <w:rsid w:val="747E6F1B"/>
    <w:rsid w:val="74A70492"/>
    <w:rsid w:val="74AD5B84"/>
    <w:rsid w:val="74C03627"/>
    <w:rsid w:val="7539371F"/>
    <w:rsid w:val="75445367"/>
    <w:rsid w:val="75A47D78"/>
    <w:rsid w:val="75A85F0F"/>
    <w:rsid w:val="76315745"/>
    <w:rsid w:val="76413BB0"/>
    <w:rsid w:val="76C30A33"/>
    <w:rsid w:val="76C91BD0"/>
    <w:rsid w:val="76DE411F"/>
    <w:rsid w:val="77291625"/>
    <w:rsid w:val="77BC0D85"/>
    <w:rsid w:val="780B66BB"/>
    <w:rsid w:val="785121FC"/>
    <w:rsid w:val="78813F21"/>
    <w:rsid w:val="78FE26C8"/>
    <w:rsid w:val="791658AE"/>
    <w:rsid w:val="792D4914"/>
    <w:rsid w:val="79C15690"/>
    <w:rsid w:val="79FD504B"/>
    <w:rsid w:val="7A1E5E9B"/>
    <w:rsid w:val="7A4528E6"/>
    <w:rsid w:val="7A466C28"/>
    <w:rsid w:val="7ABC299D"/>
    <w:rsid w:val="7AD17150"/>
    <w:rsid w:val="7AD176B2"/>
    <w:rsid w:val="7AE22541"/>
    <w:rsid w:val="7B376F2C"/>
    <w:rsid w:val="7B385EC0"/>
    <w:rsid w:val="7B965C9C"/>
    <w:rsid w:val="7BB736B0"/>
    <w:rsid w:val="7C297D14"/>
    <w:rsid w:val="7C6E100B"/>
    <w:rsid w:val="7C7543F3"/>
    <w:rsid w:val="7CDF492D"/>
    <w:rsid w:val="7D305376"/>
    <w:rsid w:val="7D4A496A"/>
    <w:rsid w:val="7D732924"/>
    <w:rsid w:val="7D773EA7"/>
    <w:rsid w:val="7DAA4B8A"/>
    <w:rsid w:val="7DCA5826"/>
    <w:rsid w:val="7E321C46"/>
    <w:rsid w:val="7E9320BD"/>
    <w:rsid w:val="7ECD4CB2"/>
    <w:rsid w:val="7EEC5047"/>
    <w:rsid w:val="7F275D20"/>
    <w:rsid w:val="7F6D25ED"/>
    <w:rsid w:val="7F7E788C"/>
    <w:rsid w:val="7FB15956"/>
    <w:rsid w:val="7FE94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2"/>
    <w:basedOn w:val="1"/>
    <w:next w:val="1"/>
    <w:link w:val="33"/>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14">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annotation subject"/>
    <w:basedOn w:val="5"/>
    <w:next w:val="5"/>
    <w:link w:val="45"/>
    <w:qFormat/>
    <w:uiPriority w:val="0"/>
    <w:rPr>
      <w:b/>
      <w:bCs/>
    </w:rPr>
  </w:style>
  <w:style w:type="paragraph" w:styleId="5">
    <w:name w:val="annotation text"/>
    <w:basedOn w:val="1"/>
    <w:link w:val="36"/>
    <w:qFormat/>
    <w:uiPriority w:val="0"/>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Plain Text"/>
    <w:basedOn w:val="1"/>
    <w:qFormat/>
    <w:uiPriority w:val="0"/>
    <w:rPr>
      <w:rFonts w:ascii="宋体" w:hAnsi="Courier New" w:cs="Courier New"/>
      <w:szCs w:val="21"/>
    </w:rPr>
  </w:style>
  <w:style w:type="paragraph" w:styleId="9">
    <w:name w:val="Balloon Text"/>
    <w:basedOn w:val="1"/>
    <w:link w:val="44"/>
    <w:qFormat/>
    <w:uiPriority w:val="0"/>
    <w:pPr>
      <w:spacing w:after="0"/>
    </w:pPr>
    <w:rPr>
      <w:sz w:val="18"/>
      <w:szCs w:val="18"/>
    </w:rPr>
  </w:style>
  <w:style w:type="paragraph" w:styleId="10">
    <w:name w:val="footer"/>
    <w:basedOn w:val="1"/>
    <w:link w:val="43"/>
    <w:qFormat/>
    <w:uiPriority w:val="0"/>
    <w:pPr>
      <w:tabs>
        <w:tab w:val="center" w:pos="4153"/>
        <w:tab w:val="right" w:pos="8306"/>
      </w:tabs>
    </w:pPr>
    <w:rPr>
      <w:sz w:val="18"/>
      <w:szCs w:val="18"/>
    </w:rPr>
  </w:style>
  <w:style w:type="paragraph" w:styleId="11">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style>
  <w:style w:type="paragraph" w:styleId="13">
    <w:name w:val="Normal (Web)"/>
    <w:basedOn w:val="1"/>
    <w:qFormat/>
    <w:uiPriority w:val="0"/>
    <w:pPr>
      <w:spacing w:beforeAutospacing="1" w:afterAutospacing="1"/>
    </w:pPr>
    <w:rPr>
      <w:sz w:val="24"/>
    </w:rPr>
  </w:style>
  <w:style w:type="character" w:styleId="15">
    <w:name w:val="Strong"/>
    <w:qFormat/>
    <w:uiPriority w:val="0"/>
    <w:rPr>
      <w:b/>
      <w:bCs/>
    </w:rPr>
  </w:style>
  <w:style w:type="character" w:styleId="16">
    <w:name w:val="page number"/>
    <w:basedOn w:val="14"/>
    <w:qFormat/>
    <w:uiPriority w:val="0"/>
  </w:style>
  <w:style w:type="character" w:styleId="17">
    <w:name w:val="annotation reference"/>
    <w:qFormat/>
    <w:uiPriority w:val="0"/>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
    <w:name w:val="正文(首行缩进)"/>
    <w:basedOn w:val="6"/>
    <w:next w:val="6"/>
    <w:qFormat/>
    <w:uiPriority w:val="0"/>
    <w:pPr>
      <w:spacing w:line="360" w:lineRule="auto"/>
      <w:ind w:firstLine="200" w:firstLineChars="200"/>
    </w:pPr>
    <w:rPr>
      <w:rFonts w:ascii="宋体" w:hAnsi="宋体" w:cs="宋体"/>
      <w:snapToGrid w:val="0"/>
      <w:sz w:val="24"/>
    </w:rPr>
  </w:style>
  <w:style w:type="paragraph" w:customStyle="1" w:styleId="21">
    <w:name w:val="文档结构图1"/>
    <w:basedOn w:val="1"/>
    <w:link w:val="32"/>
    <w:qFormat/>
    <w:uiPriority w:val="0"/>
    <w:rPr>
      <w:rFonts w:ascii="宋体" w:eastAsia="宋体"/>
      <w:sz w:val="18"/>
      <w:szCs w:val="18"/>
    </w:rPr>
  </w:style>
  <w:style w:type="paragraph" w:customStyle="1" w:styleId="22">
    <w:name w:val="正文文本缩进1"/>
    <w:basedOn w:val="1"/>
    <w:link w:val="40"/>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paragraph" w:customStyle="1" w:styleId="23">
    <w:name w:val="正文文本缩进 21"/>
    <w:basedOn w:val="1"/>
    <w:link w:val="34"/>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24">
    <w:name w:val="日期1"/>
    <w:basedOn w:val="1"/>
    <w:next w:val="1"/>
    <w:link w:val="37"/>
    <w:qFormat/>
    <w:uiPriority w:val="0"/>
    <w:pPr>
      <w:ind w:left="100" w:leftChars="2500"/>
    </w:pPr>
  </w:style>
  <w:style w:type="paragraph" w:customStyle="1" w:styleId="25">
    <w:name w:val="纯文本1"/>
    <w:basedOn w:val="1"/>
    <w:link w:val="35"/>
    <w:qFormat/>
    <w:uiPriority w:val="0"/>
    <w:pPr>
      <w:widowControl w:val="0"/>
      <w:adjustRightInd/>
      <w:snapToGrid/>
      <w:spacing w:after="0"/>
      <w:jc w:val="both"/>
    </w:pPr>
    <w:rPr>
      <w:rFonts w:ascii="宋体" w:hAnsi="Courier New" w:eastAsia="宋体"/>
      <w:kern w:val="2"/>
      <w:sz w:val="21"/>
      <w:szCs w:val="20"/>
    </w:rPr>
  </w:style>
  <w:style w:type="paragraph" w:customStyle="1" w:styleId="26">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7">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8">
    <w:name w:val="批注主题1"/>
    <w:basedOn w:val="5"/>
    <w:next w:val="5"/>
    <w:link w:val="38"/>
    <w:qFormat/>
    <w:uiPriority w:val="0"/>
    <w:rPr>
      <w:b/>
      <w:bCs/>
    </w:rPr>
  </w:style>
  <w:style w:type="paragraph" w:customStyle="1" w:styleId="29">
    <w:name w:val="列出段落2"/>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30">
    <w:name w:val="普通(网站)11"/>
    <w:basedOn w:val="1"/>
    <w:qFormat/>
    <w:uiPriority w:val="0"/>
    <w:pPr>
      <w:adjustRightInd/>
      <w:snapToGrid/>
      <w:spacing w:before="100" w:beforeAutospacing="1" w:after="100" w:afterAutospacing="1"/>
    </w:pPr>
    <w:rPr>
      <w:rFonts w:hint="eastAsia" w:ascii="宋体" w:hAnsi="宋体" w:eastAsia="宋体"/>
      <w:sz w:val="24"/>
    </w:rPr>
  </w:style>
  <w:style w:type="character" w:customStyle="1" w:styleId="31">
    <w:name w:val="批注引用1"/>
    <w:qFormat/>
    <w:uiPriority w:val="0"/>
    <w:rPr>
      <w:sz w:val="21"/>
      <w:szCs w:val="21"/>
    </w:rPr>
  </w:style>
  <w:style w:type="character" w:customStyle="1" w:styleId="32">
    <w:name w:val="文档结构图 Char"/>
    <w:link w:val="21"/>
    <w:qFormat/>
    <w:uiPriority w:val="0"/>
    <w:rPr>
      <w:rFonts w:ascii="宋体" w:hAnsi="Tahoma" w:eastAsia="宋体"/>
      <w:sz w:val="18"/>
      <w:szCs w:val="18"/>
    </w:rPr>
  </w:style>
  <w:style w:type="character" w:customStyle="1" w:styleId="33">
    <w:name w:val="标题 2 Char"/>
    <w:link w:val="3"/>
    <w:qFormat/>
    <w:uiPriority w:val="0"/>
    <w:rPr>
      <w:rFonts w:ascii="Times New Roman" w:hAnsi="Times New Roman" w:eastAsia="宋体" w:cs="Times New Roman"/>
      <w:bCs/>
      <w:kern w:val="2"/>
      <w:sz w:val="21"/>
      <w:szCs w:val="32"/>
    </w:rPr>
  </w:style>
  <w:style w:type="character" w:customStyle="1" w:styleId="34">
    <w:name w:val="正文文本缩进 2 Char"/>
    <w:link w:val="23"/>
    <w:qFormat/>
    <w:uiPriority w:val="0"/>
    <w:rPr>
      <w:rFonts w:ascii="Times New Roman" w:hAnsi="Times New Roman" w:eastAsia="仿宋_GB2312" w:cs="Times New Roman"/>
      <w:sz w:val="28"/>
      <w:szCs w:val="20"/>
    </w:rPr>
  </w:style>
  <w:style w:type="character" w:customStyle="1" w:styleId="35">
    <w:name w:val="纯文本 Char1"/>
    <w:link w:val="25"/>
    <w:qFormat/>
    <w:uiPriority w:val="0"/>
    <w:rPr>
      <w:rFonts w:ascii="宋体" w:hAnsi="Courier New" w:eastAsia="宋体" w:cs="Times New Roman"/>
      <w:kern w:val="2"/>
      <w:sz w:val="21"/>
      <w:szCs w:val="20"/>
    </w:rPr>
  </w:style>
  <w:style w:type="character" w:customStyle="1" w:styleId="36">
    <w:name w:val="批注文字 Char"/>
    <w:link w:val="5"/>
    <w:qFormat/>
    <w:uiPriority w:val="0"/>
    <w:rPr>
      <w:rFonts w:ascii="Tahoma" w:hAnsi="Tahoma"/>
    </w:rPr>
  </w:style>
  <w:style w:type="character" w:customStyle="1" w:styleId="37">
    <w:name w:val="日期 Char"/>
    <w:link w:val="24"/>
    <w:qFormat/>
    <w:uiPriority w:val="0"/>
    <w:rPr>
      <w:rFonts w:ascii="Tahoma" w:hAnsi="Tahoma"/>
    </w:rPr>
  </w:style>
  <w:style w:type="character" w:customStyle="1" w:styleId="38">
    <w:name w:val="批注主题 Char"/>
    <w:link w:val="28"/>
    <w:qFormat/>
    <w:uiPriority w:val="0"/>
    <w:rPr>
      <w:rFonts w:ascii="Tahoma" w:hAnsi="Tahoma"/>
      <w:b/>
      <w:bCs/>
    </w:rPr>
  </w:style>
  <w:style w:type="character" w:customStyle="1" w:styleId="39">
    <w:name w:val="页眉 Char"/>
    <w:link w:val="11"/>
    <w:qFormat/>
    <w:uiPriority w:val="0"/>
    <w:rPr>
      <w:rFonts w:ascii="Tahoma" w:hAnsi="Tahoma"/>
      <w:sz w:val="18"/>
      <w:szCs w:val="18"/>
    </w:rPr>
  </w:style>
  <w:style w:type="character" w:customStyle="1" w:styleId="40">
    <w:name w:val="正文文本缩进 Char"/>
    <w:link w:val="22"/>
    <w:qFormat/>
    <w:uiPriority w:val="0"/>
    <w:rPr>
      <w:rFonts w:ascii="仿宋_GB2312" w:hAnsi="Times New Roman" w:eastAsia="仿宋_GB2312" w:cs="Times New Roman"/>
      <w:sz w:val="28"/>
      <w:szCs w:val="20"/>
    </w:rPr>
  </w:style>
  <w:style w:type="character" w:customStyle="1" w:styleId="41">
    <w:name w:val="纯文本 Char"/>
    <w:qFormat/>
    <w:uiPriority w:val="0"/>
    <w:rPr>
      <w:rFonts w:ascii="宋体" w:hAnsi="Courier New" w:eastAsia="宋体" w:cs="Courier New"/>
      <w:sz w:val="21"/>
      <w:szCs w:val="21"/>
    </w:rPr>
  </w:style>
  <w:style w:type="character" w:customStyle="1" w:styleId="42">
    <w:name w:val="页码1"/>
    <w:basedOn w:val="14"/>
    <w:qFormat/>
    <w:uiPriority w:val="0"/>
  </w:style>
  <w:style w:type="character" w:customStyle="1" w:styleId="43">
    <w:name w:val="页脚 Char"/>
    <w:link w:val="10"/>
    <w:qFormat/>
    <w:uiPriority w:val="0"/>
    <w:rPr>
      <w:rFonts w:ascii="Tahoma" w:hAnsi="Tahoma"/>
      <w:sz w:val="18"/>
      <w:szCs w:val="18"/>
    </w:rPr>
  </w:style>
  <w:style w:type="character" w:customStyle="1" w:styleId="44">
    <w:name w:val="批注框文本 Char"/>
    <w:link w:val="9"/>
    <w:qFormat/>
    <w:uiPriority w:val="0"/>
    <w:rPr>
      <w:rFonts w:ascii="Tahoma" w:hAnsi="Tahoma"/>
      <w:sz w:val="18"/>
      <w:szCs w:val="18"/>
    </w:rPr>
  </w:style>
  <w:style w:type="character" w:customStyle="1" w:styleId="45">
    <w:name w:val="批注主题 Char1"/>
    <w:link w:val="4"/>
    <w:qFormat/>
    <w:uiPriority w:val="0"/>
    <w:rPr>
      <w:rFonts w:ascii="Tahoma" w:hAnsi="Tahoma" w:eastAsia="微软雅黑"/>
      <w:b/>
      <w:bCs/>
      <w:sz w:val="22"/>
      <w:szCs w:val="22"/>
    </w:rPr>
  </w:style>
  <w:style w:type="paragraph" w:customStyle="1" w:styleId="46">
    <w:name w:val="样式1"/>
    <w:basedOn w:val="1"/>
    <w:link w:val="50"/>
    <w:qFormat/>
    <w:uiPriority w:val="0"/>
    <w:pPr>
      <w:spacing w:line="540" w:lineRule="exact"/>
      <w:ind w:firstLine="1320" w:firstLineChars="200"/>
    </w:pPr>
    <w:rPr>
      <w:rFonts w:ascii="Times New Roman" w:hAnsi="Times New Roman"/>
      <w:szCs w:val="28"/>
    </w:rPr>
  </w:style>
  <w:style w:type="paragraph" w:customStyle="1" w:styleId="47">
    <w:name w:val="表"/>
    <w:basedOn w:val="1"/>
    <w:qFormat/>
    <w:uiPriority w:val="0"/>
    <w:pPr>
      <w:spacing w:line="240" w:lineRule="atLeast"/>
      <w:jc w:val="center"/>
    </w:pPr>
    <w:rPr>
      <w:rFonts w:ascii="Times New Roman" w:hAnsi="Times New Roman"/>
      <w:sz w:val="21"/>
    </w:rPr>
  </w:style>
  <w:style w:type="paragraph" w:customStyle="1" w:styleId="48">
    <w:name w:val="表标题"/>
    <w:basedOn w:val="1"/>
    <w:qFormat/>
    <w:uiPriority w:val="0"/>
    <w:pPr>
      <w:jc w:val="center"/>
    </w:pPr>
    <w:rPr>
      <w:rFonts w:ascii="黑体" w:eastAsia="黑体"/>
      <w:sz w:val="24"/>
      <w:szCs w:val="20"/>
    </w:rPr>
  </w:style>
  <w:style w:type="paragraph" w:customStyle="1" w:styleId="49">
    <w:name w:val="表头"/>
    <w:basedOn w:val="1"/>
    <w:qFormat/>
    <w:uiPriority w:val="0"/>
    <w:pPr>
      <w:spacing w:before="50" w:beforeLines="50" w:line="240" w:lineRule="atLeast"/>
      <w:jc w:val="center"/>
    </w:pPr>
    <w:rPr>
      <w:rFonts w:ascii="Times New Roman" w:hAnsi="Times New Roman"/>
      <w:b/>
      <w:sz w:val="24"/>
    </w:rPr>
  </w:style>
  <w:style w:type="character" w:customStyle="1" w:styleId="50">
    <w:name w:val="样式1 Char"/>
    <w:link w:val="46"/>
    <w:qFormat/>
    <w:uiPriority w:val="0"/>
    <w:rPr>
      <w:rFonts w:eastAsia="微软雅黑"/>
      <w:sz w:val="22"/>
      <w:szCs w:val="28"/>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封面"/>
    <w:basedOn w:val="1"/>
    <w:qFormat/>
    <w:uiPriority w:val="0"/>
  </w:style>
  <w:style w:type="paragraph" w:customStyle="1" w:styleId="5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4">
    <w:name w:val="表格2222222"/>
    <w:next w:val="1"/>
    <w:qFormat/>
    <w:uiPriority w:val="0"/>
    <w:pPr>
      <w:widowControl w:val="0"/>
      <w:jc w:val="both"/>
    </w:pPr>
    <w:rPr>
      <w:rFonts w:ascii="仿宋_GB2312" w:hAnsi="仿宋_GB2312" w:eastAsia="宋体" w:cs="Times New Roman"/>
      <w:kern w:val="2"/>
      <w:sz w:val="21"/>
      <w:szCs w:val="22"/>
      <w:lang w:val="en-US" w:eastAsia="zh-CN" w:bidi="ar-SA"/>
    </w:rPr>
  </w:style>
  <w:style w:type="paragraph" w:customStyle="1" w:styleId="55">
    <w:name w:val="段落"/>
    <w:basedOn w:val="8"/>
    <w:qFormat/>
    <w:uiPriority w:val="0"/>
    <w:pPr>
      <w:spacing w:line="460" w:lineRule="exact"/>
      <w:ind w:firstLine="602"/>
    </w:pPr>
    <w:rPr>
      <w:rFonts w:ascii="Times New Roman" w:hAnsi="Times New Roman"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4206c68-4058-4a87-8f20-8c152dd58c08}"/>
        <w:style w:val=""/>
        <w:category>
          <w:name w:val="常规"/>
          <w:gallery w:val="placeholder"/>
        </w:category>
        <w:types>
          <w:type w:val="bbPlcHdr"/>
        </w:types>
        <w:behaviors>
          <w:behavior w:val="content"/>
        </w:behaviors>
        <w:description w:val=""/>
        <w:guid w:val="{84206C68-4058-4A87-8F20-8C152DD58C08}"/>
      </w:docPartPr>
      <w:docPartBody>
        <w:p>
          <w:r>
            <w:rPr>
              <w:color w:val="808080"/>
            </w:rPr>
            <w:t>单击此处输入文字。</w:t>
          </w:r>
        </w:p>
      </w:docPartBody>
    </w:docPart>
    <w:docPart>
      <w:docPartPr>
        <w:name w:val="{a7bf1534-bfd5-40c1-aa2b-26b75a7942b0}"/>
        <w:style w:val=""/>
        <w:category>
          <w:name w:val="常规"/>
          <w:gallery w:val="placeholder"/>
        </w:category>
        <w:types>
          <w:type w:val="bbPlcHdr"/>
        </w:types>
        <w:behaviors>
          <w:behavior w:val="content"/>
        </w:behaviors>
        <w:description w:val=""/>
        <w:guid w:val="{A7BF1534-BFD5-40C1-AA2B-26B75A7942B0}"/>
      </w:docPartPr>
      <w:docPartBody>
        <w:p>
          <w:r>
            <w:rPr>
              <w:color w:val="808080"/>
            </w:rPr>
            <w:t>单击此处输入文字。</w:t>
          </w:r>
        </w:p>
      </w:docPartBody>
    </w:docPart>
    <w:docPart>
      <w:docPartPr>
        <w:name w:val="{549c2dca-e0aa-4130-ba36-f3ae664ce790}"/>
        <w:style w:val=""/>
        <w:category>
          <w:name w:val="常规"/>
          <w:gallery w:val="placeholder"/>
        </w:category>
        <w:types>
          <w:type w:val="bbPlcHdr"/>
        </w:types>
        <w:behaviors>
          <w:behavior w:val="content"/>
        </w:behaviors>
        <w:description w:val=""/>
        <w:guid w:val="{549C2DCA-E0AA-4130-BA36-F3AE664CE790}"/>
      </w:docPartPr>
      <w:docPartBody>
        <w:p>
          <w:r>
            <w:rPr>
              <w:color w:val="808080"/>
            </w:rPr>
            <w:t>单击此处输入文字。</w:t>
          </w:r>
        </w:p>
      </w:docPartBody>
    </w:docPart>
    <w:docPart>
      <w:docPartPr>
        <w:name w:val="{2490ad63-8232-47e7-9e9c-4d2ff9b4ed27}"/>
        <w:style w:val=""/>
        <w:category>
          <w:name w:val="常规"/>
          <w:gallery w:val="placeholder"/>
        </w:category>
        <w:types>
          <w:type w:val="bbPlcHdr"/>
        </w:types>
        <w:behaviors>
          <w:behavior w:val="content"/>
        </w:behaviors>
        <w:description w:val=""/>
        <w:guid w:val="{2490AD63-8232-47E7-9E9C-4D2FF9B4ED2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CD1043"/>
    <w:rsid w:val="00185440"/>
    <w:rsid w:val="00593108"/>
    <w:rsid w:val="00A04140"/>
    <w:rsid w:val="00AA53F5"/>
    <w:rsid w:val="00B916AB"/>
    <w:rsid w:val="00CD1043"/>
    <w:rsid w:val="00D22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665EE0-7E21-4D59-8E81-19E1FA4EB216}">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50</Pages>
  <Words>2215</Words>
  <Characters>12626</Characters>
  <Lines>105</Lines>
  <Paragraphs>29</Paragraphs>
  <TotalTime>7</TotalTime>
  <ScaleCrop>false</ScaleCrop>
  <LinksUpToDate>false</LinksUpToDate>
  <CharactersWithSpaces>14812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2018-04-24T17:57:00Z</dcterms:created>
  <dc:creator>Administrator</dc:creator>
  <cp:lastModifiedBy>Administrator</cp:lastModifiedBy>
  <cp:lastPrinted>2019-01-07T08:42:00Z</cp:lastPrinted>
  <dcterms:modified xsi:type="dcterms:W3CDTF">2019-03-12T07:10:32Z</dcterms:modified>
  <dc:title>杨龙 处员</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